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437C92" w:rsidRPr="005F60FB" w:rsidRDefault="005461E2" w:rsidP="00BB7AA7">
      <w:pPr>
        <w:spacing w:line="480" w:lineRule="auto"/>
        <w:jc w:val="center"/>
        <w:rPr>
          <w:rFonts w:ascii="Arial" w:hAnsi="Arial" w:cs="Arial"/>
          <w:b/>
        </w:rPr>
      </w:pPr>
      <w:r>
        <w:rPr>
          <w:noProof/>
          <w:sz w:val="10"/>
          <w:szCs w:val="10"/>
        </w:rPr>
        <mc:AlternateContent>
          <mc:Choice Requires="wps">
            <w:drawing>
              <wp:anchor distT="0" distB="0" distL="114300" distR="114300" simplePos="0" relativeHeight="251657728" behindDoc="0" locked="0" layoutInCell="1" allowOverlap="1" wp14:anchorId="228C8E43" wp14:editId="053A77A3">
                <wp:simplePos x="0" y="0"/>
                <wp:positionH relativeFrom="column">
                  <wp:posOffset>-374650</wp:posOffset>
                </wp:positionH>
                <wp:positionV relativeFrom="paragraph">
                  <wp:posOffset>-539750</wp:posOffset>
                </wp:positionV>
                <wp:extent cx="2024380" cy="724535"/>
                <wp:effectExtent l="0" t="3175" r="2540" b="254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4380" cy="724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6022C" w:rsidRDefault="00C6022C">
                            <w:r>
                              <w:rPr>
                                <w:noProof/>
                              </w:rPr>
                              <w:drawing>
                                <wp:inline distT="0" distB="0" distL="0" distR="0" wp14:anchorId="7A9D6C97" wp14:editId="045BC8AE">
                                  <wp:extent cx="1865376" cy="640080"/>
                                  <wp:effectExtent l="0" t="0" r="1905"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9.5pt;margin-top:-42.5pt;width:159.4pt;height:57.0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" filled="f" stroked="f">
                <v:textbox style="mso-fit-shape-to-text:t">
                  <w:txbxContent>
                    <w:p w:rsidR="00C6022C" w:rsidRDefault="00C6022C">
                      <w:r>
                        <w:rPr>
                          <w:noProof/>
                        </w:rPr>
                        <w:drawing>
                          <wp:inline distT="0" distB="0" distL="0" distR="0" wp14:anchorId="7A9D6C97" wp14:editId="045BC8AE">
                            <wp:extent cx="1865376" cy="640080"/>
                            <wp:effectExtent l="0" t="0" r="1905"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v:textbox>
              </v:shape>
            </w:pict>
          </mc:Fallback>
        </mc:AlternateContent>
      </w:r>
      <w:r w:rsidR="00291562">
        <w:rPr>
          <w:rFonts w:ascii="Arial" w:hAnsi="Arial" w:cs="Arial"/>
          <w:b/>
        </w:rPr>
        <w:t>Protocols Revision Request</w:t>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5"/>
        <w:gridCol w:w="2210"/>
        <w:gridCol w:w="718"/>
        <w:gridCol w:w="6707"/>
      </w:tblGrid>
      <w:tr w:rsidR="00291562" w:rsidRPr="00291562" w:rsidTr="00842E7C">
        <w:trPr>
          <w:jc w:val="center"/>
        </w:trPr>
        <w:tc>
          <w:tcPr>
            <w:tcW w:w="639" w:type="dxa"/>
            <w:tcBorders>
              <w:bottom w:val="single" w:sz="4" w:space="0" w:color="auto"/>
            </w:tcBorders>
            <w:shd w:val="clear" w:color="auto" w:fill="FFFFFF"/>
            <w:vAlign w:val="center"/>
          </w:tcPr>
          <w:p w:rsidR="00291562" w:rsidRPr="00291562" w:rsidRDefault="00236222" w:rsidP="00C7446F">
            <w:pPr>
              <w:pStyle w:val="Header"/>
              <w:jc w:val="center"/>
              <w:rPr>
                <w:rFonts w:ascii="Arial" w:hAnsi="Arial" w:cs="Arial"/>
                <w:b/>
                <w:sz w:val="20"/>
                <w:szCs w:val="20"/>
              </w:rPr>
            </w:pPr>
            <w:r>
              <w:rPr>
                <w:rFonts w:ascii="Arial" w:hAnsi="Arial" w:cs="Arial"/>
                <w:b/>
                <w:sz w:val="20"/>
                <w:szCs w:val="20"/>
              </w:rPr>
              <w:t>M</w:t>
            </w:r>
            <w:r w:rsidR="00291562" w:rsidRPr="00291562">
              <w:rPr>
                <w:rFonts w:ascii="Arial" w:hAnsi="Arial" w:cs="Arial"/>
                <w:b/>
                <w:sz w:val="20"/>
                <w:szCs w:val="20"/>
              </w:rPr>
              <w:t>PRR N</w:t>
            </w:r>
            <w:r w:rsidR="00C7446F">
              <w:rPr>
                <w:rFonts w:ascii="Arial" w:hAnsi="Arial" w:cs="Arial"/>
                <w:b/>
                <w:sz w:val="20"/>
                <w:szCs w:val="20"/>
              </w:rPr>
              <w:t>o.</w:t>
            </w:r>
          </w:p>
        </w:tc>
        <w:tc>
          <w:tcPr>
            <w:tcW w:w="2248" w:type="dxa"/>
            <w:tcBorders>
              <w:bottom w:val="single" w:sz="4" w:space="0" w:color="auto"/>
            </w:tcBorders>
            <w:vAlign w:val="center"/>
          </w:tcPr>
          <w:p w:rsidR="00291562" w:rsidRPr="00291562" w:rsidRDefault="00936B11" w:rsidP="006B26F2">
            <w:pPr>
              <w:pStyle w:val="Header"/>
              <w:rPr>
                <w:rFonts w:ascii="Arial" w:hAnsi="Arial" w:cs="Arial"/>
                <w:sz w:val="20"/>
                <w:szCs w:val="20"/>
              </w:rPr>
            </w:pPr>
            <w:r>
              <w:rPr>
                <w:rFonts w:ascii="Arial" w:hAnsi="Arial" w:cs="Arial"/>
                <w:sz w:val="20"/>
                <w:szCs w:val="20"/>
              </w:rPr>
              <w:t>171</w:t>
            </w:r>
          </w:p>
        </w:tc>
        <w:tc>
          <w:tcPr>
            <w:tcW w:w="720" w:type="dxa"/>
            <w:tcBorders>
              <w:bottom w:val="single" w:sz="4" w:space="0" w:color="auto"/>
            </w:tcBorders>
            <w:shd w:val="clear" w:color="auto" w:fill="FFFFFF"/>
            <w:vAlign w:val="center"/>
          </w:tcPr>
          <w:p w:rsidR="00291562" w:rsidRPr="00291562" w:rsidRDefault="00291562" w:rsidP="00433BB1">
            <w:pPr>
              <w:pStyle w:val="Header"/>
              <w:jc w:val="center"/>
              <w:rPr>
                <w:rFonts w:ascii="Arial" w:hAnsi="Arial" w:cs="Arial"/>
                <w:b/>
                <w:sz w:val="20"/>
                <w:szCs w:val="20"/>
              </w:rPr>
            </w:pPr>
            <w:r w:rsidRPr="00291562">
              <w:rPr>
                <w:rFonts w:ascii="Arial" w:hAnsi="Arial" w:cs="Arial"/>
                <w:b/>
                <w:sz w:val="20"/>
                <w:szCs w:val="20"/>
              </w:rPr>
              <w:t>PRR Title</w:t>
            </w:r>
          </w:p>
        </w:tc>
        <w:tc>
          <w:tcPr>
            <w:tcW w:w="6833" w:type="dxa"/>
            <w:tcBorders>
              <w:bottom w:val="single" w:sz="4" w:space="0" w:color="auto"/>
            </w:tcBorders>
            <w:vAlign w:val="center"/>
          </w:tcPr>
          <w:p w:rsidR="00291562" w:rsidRPr="00291562" w:rsidRDefault="00936B11" w:rsidP="006B26F2">
            <w:pPr>
              <w:pStyle w:val="Header"/>
              <w:rPr>
                <w:rFonts w:ascii="Arial" w:hAnsi="Arial" w:cs="Arial"/>
                <w:sz w:val="20"/>
                <w:szCs w:val="20"/>
              </w:rPr>
            </w:pPr>
            <w:r>
              <w:rPr>
                <w:rFonts w:ascii="Arial" w:hAnsi="Arial" w:cs="Arial"/>
                <w:sz w:val="20"/>
                <w:szCs w:val="20"/>
              </w:rPr>
              <w:t>LTCR Clarifications</w:t>
            </w:r>
          </w:p>
        </w:tc>
      </w:tr>
      <w:tr w:rsidR="00291562" w:rsidRPr="00291562" w:rsidTr="00842E7C">
        <w:trPr>
          <w:trHeight w:val="773"/>
          <w:jc w:val="center"/>
        </w:trPr>
        <w:tc>
          <w:tcPr>
            <w:tcW w:w="2887" w:type="dxa"/>
            <w:gridSpan w:val="2"/>
            <w:tcBorders>
              <w:top w:val="single" w:sz="4" w:space="0" w:color="auto"/>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Protocol Section(s) Requiring Revision </w:t>
            </w:r>
          </w:p>
        </w:tc>
        <w:tc>
          <w:tcPr>
            <w:tcW w:w="7553" w:type="dxa"/>
            <w:gridSpan w:val="2"/>
            <w:tcBorders>
              <w:top w:val="single" w:sz="4" w:space="0" w:color="auto"/>
            </w:tcBorders>
            <w:vAlign w:val="center"/>
          </w:tcPr>
          <w:p w:rsidR="00291562" w:rsidRPr="00291562" w:rsidRDefault="00291562" w:rsidP="006B26F2">
            <w:pPr>
              <w:pStyle w:val="NormalArial"/>
              <w:rPr>
                <w:rFonts w:cs="Arial"/>
                <w:sz w:val="20"/>
                <w:szCs w:val="20"/>
              </w:rPr>
            </w:pPr>
            <w:r w:rsidRPr="00FD3C8D">
              <w:rPr>
                <w:rFonts w:cs="Arial"/>
                <w:b/>
                <w:sz w:val="20"/>
                <w:szCs w:val="20"/>
              </w:rPr>
              <w:t>Section No</w:t>
            </w:r>
            <w:r w:rsidR="00FD3C8D" w:rsidRPr="00FD3C8D">
              <w:rPr>
                <w:rFonts w:cs="Arial"/>
                <w:b/>
                <w:sz w:val="20"/>
                <w:szCs w:val="20"/>
              </w:rPr>
              <w:t>.</w:t>
            </w:r>
            <w:r w:rsidRPr="00FD3C8D">
              <w:rPr>
                <w:rFonts w:cs="Arial"/>
                <w:b/>
                <w:sz w:val="20"/>
                <w:szCs w:val="20"/>
              </w:rPr>
              <w:t>:</w:t>
            </w:r>
            <w:r w:rsidRPr="00291562">
              <w:rPr>
                <w:rFonts w:cs="Arial"/>
                <w:sz w:val="20"/>
                <w:szCs w:val="20"/>
              </w:rPr>
              <w:t xml:space="preserve">  </w:t>
            </w:r>
            <w:r w:rsidR="00936B11">
              <w:rPr>
                <w:rFonts w:cs="Arial"/>
                <w:sz w:val="20"/>
                <w:szCs w:val="20"/>
              </w:rPr>
              <w:t>3.2;</w:t>
            </w:r>
            <w:r w:rsidRPr="00291562">
              <w:rPr>
                <w:rFonts w:cs="Arial"/>
                <w:sz w:val="20"/>
                <w:szCs w:val="20"/>
              </w:rPr>
              <w:t xml:space="preserve"> </w:t>
            </w:r>
            <w:r w:rsidR="00936B11">
              <w:rPr>
                <w:rFonts w:cs="Arial"/>
                <w:sz w:val="20"/>
                <w:szCs w:val="20"/>
              </w:rPr>
              <w:t>5;</w:t>
            </w:r>
            <w:r w:rsidRPr="00291562">
              <w:rPr>
                <w:rFonts w:cs="Arial"/>
                <w:sz w:val="20"/>
                <w:szCs w:val="20"/>
              </w:rPr>
              <w:t xml:space="preserve"> </w:t>
            </w:r>
            <w:r w:rsidR="006D5404">
              <w:rPr>
                <w:rFonts w:cs="Arial"/>
                <w:sz w:val="20"/>
                <w:szCs w:val="20"/>
              </w:rPr>
              <w:t>5.1.1;</w:t>
            </w:r>
            <w:r w:rsidRPr="00291562">
              <w:rPr>
                <w:rFonts w:cs="Arial"/>
                <w:sz w:val="20"/>
                <w:szCs w:val="20"/>
              </w:rPr>
              <w:t xml:space="preserve"> </w:t>
            </w:r>
            <w:r w:rsidR="006D5404">
              <w:rPr>
                <w:rFonts w:cs="Arial"/>
                <w:sz w:val="20"/>
                <w:szCs w:val="20"/>
              </w:rPr>
              <w:t>5.1.2; 5.2.6;</w:t>
            </w:r>
            <w:r w:rsidR="0014543A">
              <w:rPr>
                <w:rFonts w:cs="Arial"/>
                <w:sz w:val="20"/>
                <w:szCs w:val="20"/>
              </w:rPr>
              <w:t xml:space="preserve"> 5.3.3;</w:t>
            </w:r>
            <w:r w:rsidRPr="00291562">
              <w:rPr>
                <w:rFonts w:cs="Arial"/>
                <w:sz w:val="20"/>
                <w:szCs w:val="20"/>
              </w:rPr>
              <w:t xml:space="preserve"> </w:t>
            </w:r>
            <w:r w:rsidR="0014543A">
              <w:rPr>
                <w:rFonts w:cs="Arial"/>
                <w:sz w:val="20"/>
                <w:szCs w:val="20"/>
              </w:rPr>
              <w:t>5.3.4; 5.4.1;</w:t>
            </w:r>
            <w:r w:rsidRPr="00291562">
              <w:rPr>
                <w:rFonts w:cs="Arial"/>
                <w:sz w:val="20"/>
                <w:szCs w:val="20"/>
              </w:rPr>
              <w:t xml:space="preserve"> </w:t>
            </w:r>
            <w:r w:rsidR="0014543A">
              <w:rPr>
                <w:rFonts w:cs="Arial"/>
                <w:sz w:val="20"/>
                <w:szCs w:val="20"/>
              </w:rPr>
              <w:t>5.4.4; 5.5.2;</w:t>
            </w:r>
            <w:r w:rsidR="00CD3D47">
              <w:rPr>
                <w:rFonts w:cs="Arial"/>
                <w:sz w:val="20"/>
                <w:szCs w:val="20"/>
              </w:rPr>
              <w:t xml:space="preserve"> 5.5.3; 5.6.3;</w:t>
            </w:r>
          </w:p>
          <w:p w:rsidR="00291562" w:rsidRPr="00291562" w:rsidRDefault="00291562" w:rsidP="006B26F2">
            <w:pPr>
              <w:pStyle w:val="NormalArial"/>
              <w:rPr>
                <w:rFonts w:cs="Arial"/>
                <w:sz w:val="20"/>
                <w:szCs w:val="20"/>
              </w:rPr>
            </w:pPr>
            <w:r w:rsidRPr="00FD3C8D">
              <w:rPr>
                <w:rFonts w:cs="Arial"/>
                <w:b/>
                <w:sz w:val="20"/>
                <w:szCs w:val="20"/>
              </w:rPr>
              <w:t>Title:</w:t>
            </w:r>
            <w:r w:rsidRPr="00291562">
              <w:rPr>
                <w:rFonts w:cs="Arial"/>
                <w:sz w:val="20"/>
                <w:szCs w:val="20"/>
              </w:rPr>
              <w:t xml:space="preserve">  </w:t>
            </w:r>
            <w:r w:rsidR="00936B11">
              <w:rPr>
                <w:rFonts w:cs="Arial"/>
                <w:sz w:val="20"/>
                <w:szCs w:val="20"/>
              </w:rPr>
              <w:t xml:space="preserve">Transmission Congestion Rights Markets; Transmission Congestion Rights Markets Process; </w:t>
            </w:r>
            <w:r w:rsidR="006D5404">
              <w:rPr>
                <w:rFonts w:cs="Arial"/>
                <w:sz w:val="20"/>
                <w:szCs w:val="20"/>
              </w:rPr>
              <w:t xml:space="preserve">Transmission Service Verification; </w:t>
            </w:r>
            <w:r w:rsidRPr="00291562">
              <w:rPr>
                <w:rFonts w:cs="Arial"/>
                <w:sz w:val="20"/>
                <w:szCs w:val="20"/>
              </w:rPr>
              <w:t xml:space="preserve"> </w:t>
            </w:r>
            <w:r w:rsidR="006D5404">
              <w:rPr>
                <w:rFonts w:cs="Arial"/>
                <w:sz w:val="20"/>
                <w:szCs w:val="20"/>
              </w:rPr>
              <w:t xml:space="preserve">Candidate LTCRs/ARRs; LTCR Selections and Awards; </w:t>
            </w:r>
            <w:r w:rsidR="0014543A">
              <w:rPr>
                <w:rFonts w:cs="Arial"/>
                <w:sz w:val="20"/>
                <w:szCs w:val="20"/>
              </w:rPr>
              <w:t>Simultaneous Feasibility;</w:t>
            </w:r>
            <w:r w:rsidRPr="00291562">
              <w:rPr>
                <w:rFonts w:cs="Arial"/>
                <w:sz w:val="20"/>
                <w:szCs w:val="20"/>
              </w:rPr>
              <w:t xml:space="preserve">  </w:t>
            </w:r>
            <w:r w:rsidR="0014543A">
              <w:rPr>
                <w:rFonts w:cs="Arial"/>
                <w:sz w:val="20"/>
                <w:szCs w:val="20"/>
              </w:rPr>
              <w:t xml:space="preserve">Annual ARR Awards; TCR Bid and Offer Submittal; Annual TCR Awards; Monthly ARR Nominations; </w:t>
            </w:r>
            <w:r w:rsidR="00CD3D47">
              <w:rPr>
                <w:rFonts w:cs="Arial"/>
                <w:sz w:val="20"/>
                <w:szCs w:val="20"/>
              </w:rPr>
              <w:t xml:space="preserve">Simultaneous Feasibility; Monthly TCR Auction Clearing and Simultaneous Feasibility;  </w:t>
            </w:r>
            <w:r w:rsidRPr="00291562">
              <w:rPr>
                <w:rFonts w:cs="Arial"/>
                <w:sz w:val="20"/>
                <w:szCs w:val="20"/>
              </w:rPr>
              <w:t xml:space="preserve">  </w:t>
            </w:r>
          </w:p>
          <w:p w:rsidR="00291562" w:rsidRPr="00291562" w:rsidRDefault="00291562" w:rsidP="00936B11">
            <w:pPr>
              <w:pStyle w:val="NormalArial"/>
              <w:rPr>
                <w:rFonts w:cs="Arial"/>
                <w:sz w:val="20"/>
                <w:szCs w:val="20"/>
              </w:rPr>
            </w:pPr>
            <w:r w:rsidRPr="00FD3C8D">
              <w:rPr>
                <w:rFonts w:cs="Arial"/>
                <w:b/>
                <w:sz w:val="20"/>
                <w:szCs w:val="20"/>
              </w:rPr>
              <w:t>Protocol Version:</w:t>
            </w:r>
            <w:r w:rsidRPr="00291562">
              <w:rPr>
                <w:rFonts w:cs="Arial"/>
                <w:sz w:val="20"/>
                <w:szCs w:val="20"/>
              </w:rPr>
              <w:t xml:space="preserve">  </w:t>
            </w:r>
            <w:r w:rsidR="00936B11">
              <w:rPr>
                <w:rFonts w:cs="Arial"/>
                <w:sz w:val="20"/>
                <w:szCs w:val="20"/>
              </w:rPr>
              <w:t>19.1</w:t>
            </w:r>
          </w:p>
        </w:tc>
      </w:tr>
      <w:tr w:rsidR="00291562" w:rsidRPr="00291562" w:rsidTr="00842E7C">
        <w:trPr>
          <w:trHeight w:val="778"/>
          <w:jc w:val="center"/>
        </w:trPr>
        <w:tc>
          <w:tcPr>
            <w:tcW w:w="2887"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Impact Analysis Required</w:t>
            </w:r>
          </w:p>
        </w:tc>
        <w:tc>
          <w:tcPr>
            <w:tcW w:w="7553" w:type="dxa"/>
            <w:gridSpan w:val="2"/>
            <w:vAlign w:val="center"/>
          </w:tcPr>
          <w:p w:rsidR="00291562" w:rsidRPr="00291562" w:rsidRDefault="00525140" w:rsidP="00632164">
            <w:pPr>
              <w:pStyle w:val="NormalArial"/>
              <w:rPr>
                <w:rFonts w:cs="Arial"/>
                <w:sz w:val="20"/>
                <w:szCs w:val="20"/>
              </w:rPr>
            </w:pPr>
            <w:r w:rsidRPr="00291562">
              <w:rPr>
                <w:rFonts w:cs="Arial"/>
                <w:sz w:val="20"/>
                <w:szCs w:val="20"/>
              </w:rPr>
              <w:fldChar w:fldCharType="begin">
                <w:ffData>
                  <w:name w:val="Check9"/>
                  <w:enabled/>
                  <w:calcOnExit w:val="0"/>
                  <w:checkBox>
                    <w:sizeAuto/>
                    <w:default w:val="0"/>
                  </w:checkBox>
                </w:ffData>
              </w:fldChar>
            </w:r>
            <w:bookmarkStart w:id="1" w:name="Check9"/>
            <w:r w:rsidR="00291562" w:rsidRPr="00291562">
              <w:rPr>
                <w:rFonts w:cs="Arial"/>
                <w:sz w:val="20"/>
                <w:szCs w:val="20"/>
              </w:rPr>
              <w:instrText xml:space="preserve"> FORMCHECKBOX </w:instrText>
            </w:r>
            <w:r w:rsidR="006B130F">
              <w:rPr>
                <w:rFonts w:cs="Arial"/>
                <w:sz w:val="20"/>
                <w:szCs w:val="20"/>
              </w:rPr>
            </w:r>
            <w:r w:rsidR="006B130F">
              <w:rPr>
                <w:rFonts w:cs="Arial"/>
                <w:sz w:val="20"/>
                <w:szCs w:val="20"/>
              </w:rPr>
              <w:fldChar w:fldCharType="separate"/>
            </w:r>
            <w:r w:rsidRPr="00291562">
              <w:rPr>
                <w:rFonts w:cs="Arial"/>
                <w:sz w:val="20"/>
                <w:szCs w:val="20"/>
              </w:rPr>
              <w:fldChar w:fldCharType="end"/>
            </w:r>
            <w:bookmarkEnd w:id="1"/>
            <w:r w:rsidR="009E1473" w:rsidRPr="00291562">
              <w:rPr>
                <w:rFonts w:cs="Arial"/>
                <w:sz w:val="20"/>
                <w:szCs w:val="20"/>
              </w:rPr>
              <w:t xml:space="preserve">  </w:t>
            </w:r>
            <w:r w:rsidR="00291562" w:rsidRPr="00291562">
              <w:rPr>
                <w:rFonts w:cs="Arial"/>
                <w:sz w:val="20"/>
                <w:szCs w:val="20"/>
              </w:rPr>
              <w:t>Yes – If yes, estimated cost:</w:t>
            </w:r>
            <w:r w:rsidR="00B543CA">
              <w:rPr>
                <w:rFonts w:cs="Arial"/>
                <w:sz w:val="20"/>
                <w:szCs w:val="20"/>
              </w:rPr>
              <w:t xml:space="preserve">  </w:t>
            </w:r>
            <w:r w:rsidRPr="00291562">
              <w:rPr>
                <w:rFonts w:cs="Arial"/>
                <w:sz w:val="20"/>
                <w:szCs w:val="20"/>
              </w:rPr>
              <w:fldChar w:fldCharType="begin">
                <w:ffData>
                  <w:name w:val="Text6"/>
                  <w:enabled/>
                  <w:calcOnExit w:val="0"/>
                  <w:textInput/>
                </w:ffData>
              </w:fldChar>
            </w:r>
            <w:r w:rsidR="00B543CA"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B543CA" w:rsidRPr="00291562">
              <w:rPr>
                <w:rFonts w:cs="Arial"/>
                <w:noProof/>
                <w:sz w:val="20"/>
                <w:szCs w:val="20"/>
              </w:rPr>
              <w:t> </w:t>
            </w:r>
            <w:r w:rsidR="00B543CA" w:rsidRPr="00291562">
              <w:rPr>
                <w:rFonts w:cs="Arial"/>
                <w:noProof/>
                <w:sz w:val="20"/>
                <w:szCs w:val="20"/>
              </w:rPr>
              <w:t> </w:t>
            </w:r>
            <w:r w:rsidR="00B543CA" w:rsidRPr="00291562">
              <w:rPr>
                <w:rFonts w:cs="Arial"/>
                <w:noProof/>
                <w:sz w:val="20"/>
                <w:szCs w:val="20"/>
              </w:rPr>
              <w:t> </w:t>
            </w:r>
            <w:r w:rsidR="00B543CA" w:rsidRPr="00291562">
              <w:rPr>
                <w:rFonts w:cs="Arial"/>
                <w:noProof/>
                <w:sz w:val="20"/>
                <w:szCs w:val="20"/>
              </w:rPr>
              <w:t> </w:t>
            </w:r>
            <w:r w:rsidR="00B543CA" w:rsidRPr="00291562">
              <w:rPr>
                <w:rFonts w:cs="Arial"/>
                <w:noProof/>
                <w:sz w:val="20"/>
                <w:szCs w:val="20"/>
              </w:rPr>
              <w:t> </w:t>
            </w:r>
            <w:r w:rsidRPr="00291562">
              <w:rPr>
                <w:rFonts w:cs="Arial"/>
                <w:sz w:val="20"/>
                <w:szCs w:val="20"/>
              </w:rPr>
              <w:fldChar w:fldCharType="end"/>
            </w:r>
            <w:r w:rsidR="00291562" w:rsidRPr="00291562">
              <w:rPr>
                <w:rFonts w:cs="Arial"/>
                <w:sz w:val="20"/>
                <w:szCs w:val="20"/>
              </w:rPr>
              <w:t xml:space="preserve">         </w:t>
            </w:r>
            <w:r w:rsidR="00936B11">
              <w:rPr>
                <w:rFonts w:cs="Arial"/>
                <w:sz w:val="20"/>
                <w:szCs w:val="20"/>
              </w:rPr>
              <w:fldChar w:fldCharType="begin">
                <w:ffData>
                  <w:name w:val="Check10"/>
                  <w:enabled/>
                  <w:calcOnExit w:val="0"/>
                  <w:checkBox>
                    <w:sizeAuto/>
                    <w:default w:val="1"/>
                  </w:checkBox>
                </w:ffData>
              </w:fldChar>
            </w:r>
            <w:bookmarkStart w:id="2" w:name="Check10"/>
            <w:r w:rsidR="00936B11">
              <w:rPr>
                <w:rFonts w:cs="Arial"/>
                <w:sz w:val="20"/>
                <w:szCs w:val="20"/>
              </w:rPr>
              <w:instrText xml:space="preserve"> FORMCHECKBOX </w:instrText>
            </w:r>
            <w:r w:rsidR="006B130F">
              <w:rPr>
                <w:rFonts w:cs="Arial"/>
                <w:sz w:val="20"/>
                <w:szCs w:val="20"/>
              </w:rPr>
            </w:r>
            <w:r w:rsidR="006B130F">
              <w:rPr>
                <w:rFonts w:cs="Arial"/>
                <w:sz w:val="20"/>
                <w:szCs w:val="20"/>
              </w:rPr>
              <w:fldChar w:fldCharType="separate"/>
            </w:r>
            <w:r w:rsidR="00936B11">
              <w:rPr>
                <w:rFonts w:cs="Arial"/>
                <w:sz w:val="20"/>
                <w:szCs w:val="20"/>
              </w:rPr>
              <w:fldChar w:fldCharType="end"/>
            </w:r>
            <w:bookmarkEnd w:id="2"/>
            <w:r w:rsidR="00291562" w:rsidRPr="00291562">
              <w:rPr>
                <w:rFonts w:cs="Arial"/>
                <w:sz w:val="20"/>
                <w:szCs w:val="20"/>
              </w:rPr>
              <w:t xml:space="preserve"> No</w:t>
            </w:r>
          </w:p>
          <w:p w:rsidR="00291562" w:rsidRPr="00291562" w:rsidRDefault="00291562" w:rsidP="00632164">
            <w:pPr>
              <w:pStyle w:val="NormalArial"/>
              <w:rPr>
                <w:rFonts w:cs="Arial"/>
                <w:b/>
                <w:sz w:val="20"/>
                <w:szCs w:val="20"/>
              </w:rPr>
            </w:pPr>
          </w:p>
          <w:p w:rsidR="00291562" w:rsidRPr="00291562" w:rsidRDefault="00291562" w:rsidP="00632164">
            <w:pPr>
              <w:pStyle w:val="NormalArial"/>
              <w:rPr>
                <w:rFonts w:cs="Arial"/>
                <w:b/>
                <w:sz w:val="20"/>
                <w:szCs w:val="20"/>
              </w:rPr>
            </w:pPr>
            <w:r w:rsidRPr="00291562">
              <w:rPr>
                <w:rFonts w:cs="Arial"/>
                <w:b/>
                <w:sz w:val="20"/>
                <w:szCs w:val="20"/>
              </w:rPr>
              <w:t>SPP Staff will complete this section.</w:t>
            </w:r>
          </w:p>
        </w:tc>
      </w:tr>
      <w:tr w:rsidR="00291562" w:rsidRPr="00291562" w:rsidTr="00842E7C">
        <w:trPr>
          <w:trHeight w:val="778"/>
          <w:jc w:val="center"/>
        </w:trPr>
        <w:tc>
          <w:tcPr>
            <w:tcW w:w="2887"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Requested Resolution </w:t>
            </w:r>
          </w:p>
        </w:tc>
        <w:tc>
          <w:tcPr>
            <w:tcW w:w="7553" w:type="dxa"/>
            <w:gridSpan w:val="2"/>
            <w:vAlign w:val="center"/>
          </w:tcPr>
          <w:p w:rsidR="00291562" w:rsidRPr="00291562" w:rsidRDefault="00525140" w:rsidP="00665A9F">
            <w:pPr>
              <w:pStyle w:val="Header"/>
              <w:tabs>
                <w:tab w:val="left" w:pos="1602"/>
                <w:tab w:val="left" w:pos="3582"/>
              </w:tabs>
              <w:rPr>
                <w:rFonts w:ascii="Arial" w:hAnsi="Arial" w:cs="Arial"/>
                <w:sz w:val="20"/>
                <w:szCs w:val="20"/>
              </w:rPr>
            </w:pPr>
            <w:r w:rsidRPr="00291562">
              <w:rPr>
                <w:rFonts w:ascii="Arial" w:hAnsi="Arial" w:cs="Arial"/>
                <w:sz w:val="20"/>
                <w:szCs w:val="20"/>
              </w:rPr>
              <w:fldChar w:fldCharType="begin">
                <w:ffData>
                  <w:name w:val="Check7"/>
                  <w:enabled/>
                  <w:calcOnExit w:val="0"/>
                  <w:checkBox>
                    <w:sizeAuto/>
                    <w:default w:val="0"/>
                  </w:checkBox>
                </w:ffData>
              </w:fldChar>
            </w:r>
            <w:bookmarkStart w:id="3" w:name="Check7"/>
            <w:r w:rsidR="00291562" w:rsidRPr="00291562">
              <w:rPr>
                <w:rFonts w:ascii="Arial" w:hAnsi="Arial" w:cs="Arial"/>
                <w:sz w:val="20"/>
                <w:szCs w:val="20"/>
              </w:rPr>
              <w:instrText xml:space="preserve"> FORMCHECKBOX </w:instrText>
            </w:r>
            <w:r w:rsidR="006B130F">
              <w:rPr>
                <w:rFonts w:ascii="Arial" w:hAnsi="Arial" w:cs="Arial"/>
                <w:sz w:val="20"/>
                <w:szCs w:val="20"/>
              </w:rPr>
            </w:r>
            <w:r w:rsidR="006B130F">
              <w:rPr>
                <w:rFonts w:ascii="Arial" w:hAnsi="Arial" w:cs="Arial"/>
                <w:sz w:val="20"/>
                <w:szCs w:val="20"/>
              </w:rPr>
              <w:fldChar w:fldCharType="separate"/>
            </w:r>
            <w:r w:rsidRPr="00291562">
              <w:rPr>
                <w:rFonts w:ascii="Arial" w:hAnsi="Arial" w:cs="Arial"/>
                <w:sz w:val="20"/>
                <w:szCs w:val="20"/>
              </w:rPr>
              <w:fldChar w:fldCharType="end"/>
            </w:r>
            <w:bookmarkEnd w:id="3"/>
            <w:r w:rsidR="00291562" w:rsidRPr="00291562">
              <w:rPr>
                <w:rFonts w:ascii="Arial" w:hAnsi="Arial" w:cs="Arial"/>
                <w:sz w:val="20"/>
                <w:szCs w:val="20"/>
              </w:rPr>
              <w:t xml:space="preserve">  </w:t>
            </w:r>
            <w:r w:rsidR="00291562" w:rsidRPr="00291562">
              <w:rPr>
                <w:rFonts w:ascii="Arial" w:hAnsi="Arial" w:cs="Arial"/>
                <w:b/>
                <w:sz w:val="20"/>
                <w:szCs w:val="20"/>
              </w:rPr>
              <w:t>Normal</w:t>
            </w:r>
            <w:r w:rsidR="00665A9F">
              <w:rPr>
                <w:rFonts w:ascii="Arial" w:hAnsi="Arial" w:cs="Arial"/>
                <w:sz w:val="20"/>
                <w:szCs w:val="20"/>
              </w:rPr>
              <w:t xml:space="preserve"> </w:t>
            </w:r>
            <w:r w:rsidR="00665A9F">
              <w:rPr>
                <w:rFonts w:ascii="Arial" w:hAnsi="Arial" w:cs="Arial"/>
                <w:sz w:val="20"/>
                <w:szCs w:val="20"/>
              </w:rPr>
              <w:tab/>
            </w:r>
            <w:r w:rsidR="00936B11">
              <w:rPr>
                <w:rFonts w:ascii="Arial" w:hAnsi="Arial" w:cs="Arial"/>
                <w:sz w:val="20"/>
                <w:szCs w:val="20"/>
              </w:rPr>
              <w:fldChar w:fldCharType="begin">
                <w:ffData>
                  <w:name w:val="Check8"/>
                  <w:enabled/>
                  <w:calcOnExit w:val="0"/>
                  <w:checkBox>
                    <w:sizeAuto/>
                    <w:default w:val="1"/>
                  </w:checkBox>
                </w:ffData>
              </w:fldChar>
            </w:r>
            <w:bookmarkStart w:id="4" w:name="Check8"/>
            <w:r w:rsidR="00936B11">
              <w:rPr>
                <w:rFonts w:ascii="Arial" w:hAnsi="Arial" w:cs="Arial"/>
                <w:sz w:val="20"/>
                <w:szCs w:val="20"/>
              </w:rPr>
              <w:instrText xml:space="preserve"> FORMCHECKBOX </w:instrText>
            </w:r>
            <w:r w:rsidR="006B130F">
              <w:rPr>
                <w:rFonts w:ascii="Arial" w:hAnsi="Arial" w:cs="Arial"/>
                <w:sz w:val="20"/>
                <w:szCs w:val="20"/>
              </w:rPr>
            </w:r>
            <w:r w:rsidR="006B130F">
              <w:rPr>
                <w:rFonts w:ascii="Arial" w:hAnsi="Arial" w:cs="Arial"/>
                <w:sz w:val="20"/>
                <w:szCs w:val="20"/>
              </w:rPr>
              <w:fldChar w:fldCharType="separate"/>
            </w:r>
            <w:r w:rsidR="00936B11">
              <w:rPr>
                <w:rFonts w:ascii="Arial" w:hAnsi="Arial" w:cs="Arial"/>
                <w:sz w:val="20"/>
                <w:szCs w:val="20"/>
              </w:rPr>
              <w:fldChar w:fldCharType="end"/>
            </w:r>
            <w:bookmarkEnd w:id="4"/>
            <w:r w:rsidR="009E1473" w:rsidRPr="00291562">
              <w:rPr>
                <w:rFonts w:ascii="Arial" w:hAnsi="Arial" w:cs="Arial"/>
                <w:sz w:val="20"/>
                <w:szCs w:val="20"/>
              </w:rPr>
              <w:t xml:space="preserve">  </w:t>
            </w:r>
            <w:r w:rsidR="00291562" w:rsidRPr="00291562">
              <w:rPr>
                <w:rFonts w:ascii="Arial" w:hAnsi="Arial" w:cs="Arial"/>
                <w:b/>
                <w:sz w:val="20"/>
                <w:szCs w:val="20"/>
              </w:rPr>
              <w:t>Expedited</w:t>
            </w:r>
            <w:r w:rsidR="00665A9F">
              <w:rPr>
                <w:rFonts w:ascii="Arial" w:hAnsi="Arial" w:cs="Arial"/>
                <w:sz w:val="20"/>
                <w:szCs w:val="20"/>
              </w:rPr>
              <w:t xml:space="preserve"> </w:t>
            </w:r>
            <w:r w:rsidR="00665A9F">
              <w:rPr>
                <w:rFonts w:ascii="Arial" w:hAnsi="Arial" w:cs="Arial"/>
                <w:sz w:val="20"/>
                <w:szCs w:val="20"/>
              </w:rPr>
              <w:tab/>
            </w:r>
            <w:r w:rsidRPr="00291562">
              <w:rPr>
                <w:rFonts w:ascii="Arial" w:hAnsi="Arial" w:cs="Arial"/>
                <w:sz w:val="20"/>
                <w:szCs w:val="20"/>
              </w:rPr>
              <w:fldChar w:fldCharType="begin">
                <w:ffData>
                  <w:name w:val="Check8"/>
                  <w:enabled/>
                  <w:calcOnExit w:val="0"/>
                  <w:checkBox>
                    <w:sizeAuto/>
                    <w:default w:val="0"/>
                  </w:checkBox>
                </w:ffData>
              </w:fldChar>
            </w:r>
            <w:r w:rsidR="00291562" w:rsidRPr="00291562">
              <w:rPr>
                <w:rFonts w:ascii="Arial" w:hAnsi="Arial" w:cs="Arial"/>
                <w:sz w:val="20"/>
                <w:szCs w:val="20"/>
              </w:rPr>
              <w:instrText xml:space="preserve"> FORMCHECKBOX </w:instrText>
            </w:r>
            <w:r w:rsidR="006B130F">
              <w:rPr>
                <w:rFonts w:ascii="Arial" w:hAnsi="Arial" w:cs="Arial"/>
                <w:sz w:val="20"/>
                <w:szCs w:val="20"/>
              </w:rPr>
            </w:r>
            <w:r w:rsidR="006B130F">
              <w:rPr>
                <w:rFonts w:ascii="Arial" w:hAnsi="Arial" w:cs="Arial"/>
                <w:sz w:val="20"/>
                <w:szCs w:val="20"/>
              </w:rPr>
              <w:fldChar w:fldCharType="separate"/>
            </w:r>
            <w:r w:rsidRPr="00291562">
              <w:rPr>
                <w:rFonts w:ascii="Arial" w:hAnsi="Arial" w:cs="Arial"/>
                <w:sz w:val="20"/>
                <w:szCs w:val="20"/>
              </w:rPr>
              <w:fldChar w:fldCharType="end"/>
            </w:r>
            <w:r w:rsidR="009E1473" w:rsidRPr="00291562">
              <w:rPr>
                <w:rFonts w:ascii="Arial" w:hAnsi="Arial" w:cs="Arial"/>
                <w:sz w:val="20"/>
                <w:szCs w:val="20"/>
              </w:rPr>
              <w:t xml:space="preserve">  </w:t>
            </w:r>
            <w:r w:rsidR="00291562" w:rsidRPr="00291562">
              <w:rPr>
                <w:rFonts w:ascii="Arial" w:hAnsi="Arial" w:cs="Arial"/>
                <w:b/>
                <w:sz w:val="20"/>
                <w:szCs w:val="20"/>
              </w:rPr>
              <w:t>Urgent Action</w:t>
            </w:r>
            <w:r w:rsidR="00291562" w:rsidRPr="00291562">
              <w:rPr>
                <w:rFonts w:ascii="Arial" w:hAnsi="Arial" w:cs="Arial"/>
                <w:sz w:val="20"/>
                <w:szCs w:val="20"/>
              </w:rPr>
              <w:t xml:space="preserve">       </w:t>
            </w:r>
          </w:p>
          <w:p w:rsidR="00291562" w:rsidRPr="00291562" w:rsidRDefault="00291562" w:rsidP="006B26F2">
            <w:pPr>
              <w:pStyle w:val="NormalArial"/>
              <w:rPr>
                <w:rFonts w:cs="Arial"/>
                <w:sz w:val="20"/>
                <w:szCs w:val="20"/>
              </w:rPr>
            </w:pPr>
            <w:r w:rsidRPr="00291562">
              <w:rPr>
                <w:rFonts w:cs="Arial"/>
                <w:sz w:val="20"/>
                <w:szCs w:val="20"/>
              </w:rPr>
              <w:t xml:space="preserve">  </w:t>
            </w:r>
          </w:p>
          <w:p w:rsidR="00291562" w:rsidRPr="00665A9F" w:rsidRDefault="00291562" w:rsidP="00936B11">
            <w:pPr>
              <w:pStyle w:val="NormalArial"/>
              <w:rPr>
                <w:rFonts w:cs="Arial"/>
                <w:i/>
                <w:sz w:val="20"/>
                <w:szCs w:val="20"/>
              </w:rPr>
            </w:pPr>
            <w:r w:rsidRPr="00665A9F">
              <w:rPr>
                <w:rFonts w:cs="Arial"/>
                <w:i/>
                <w:sz w:val="20"/>
                <w:szCs w:val="20"/>
              </w:rPr>
              <w:t>Provide explanation if Expedited and/or Urgent Action is selected</w:t>
            </w:r>
            <w:r w:rsidR="00665A9F">
              <w:rPr>
                <w:rFonts w:cs="Arial"/>
                <w:i/>
                <w:sz w:val="20"/>
                <w:szCs w:val="20"/>
              </w:rPr>
              <w:t xml:space="preserve">:  </w:t>
            </w:r>
            <w:r w:rsidR="00936B11">
              <w:rPr>
                <w:rFonts w:cs="Arial"/>
                <w:sz w:val="20"/>
                <w:szCs w:val="20"/>
              </w:rPr>
              <w:t>This MPRR is Expedited to go to the April MOPC.</w:t>
            </w:r>
          </w:p>
        </w:tc>
      </w:tr>
      <w:tr w:rsidR="007A21B1" w:rsidRPr="00291562" w:rsidTr="00842E7C">
        <w:trPr>
          <w:trHeight w:val="778"/>
          <w:jc w:val="center"/>
        </w:trPr>
        <w:tc>
          <w:tcPr>
            <w:tcW w:w="2887" w:type="dxa"/>
            <w:gridSpan w:val="2"/>
            <w:tcBorders>
              <w:bottom w:val="single" w:sz="4" w:space="0" w:color="auto"/>
            </w:tcBorders>
            <w:shd w:val="clear" w:color="auto" w:fill="FFFFFF"/>
            <w:vAlign w:val="center"/>
          </w:tcPr>
          <w:p w:rsidR="007A21B1" w:rsidRPr="00291562" w:rsidRDefault="00B30A8D" w:rsidP="006B26F2">
            <w:pPr>
              <w:pStyle w:val="Header"/>
              <w:rPr>
                <w:rFonts w:ascii="Arial" w:hAnsi="Arial" w:cs="Arial"/>
                <w:b/>
                <w:sz w:val="20"/>
                <w:szCs w:val="20"/>
              </w:rPr>
            </w:pPr>
            <w:r>
              <w:rPr>
                <w:rFonts w:ascii="Arial" w:hAnsi="Arial" w:cs="Arial"/>
                <w:b/>
                <w:sz w:val="20"/>
                <w:szCs w:val="20"/>
              </w:rPr>
              <w:t>Type of Revision</w:t>
            </w:r>
          </w:p>
        </w:tc>
        <w:tc>
          <w:tcPr>
            <w:tcW w:w="7553" w:type="dxa"/>
            <w:gridSpan w:val="2"/>
            <w:vAlign w:val="center"/>
          </w:tcPr>
          <w:p w:rsidR="007A21B1" w:rsidRDefault="00525140" w:rsidP="00665A9F">
            <w:pPr>
              <w:pStyle w:val="Header"/>
              <w:tabs>
                <w:tab w:val="left" w:pos="3582"/>
              </w:tabs>
              <w:spacing w:after="120"/>
              <w:rPr>
                <w:rFonts w:ascii="Arial" w:hAnsi="Arial" w:cs="Arial"/>
                <w:sz w:val="20"/>
                <w:szCs w:val="20"/>
              </w:rPr>
            </w:pPr>
            <w:r w:rsidRPr="00291562">
              <w:rPr>
                <w:rFonts w:ascii="Arial" w:hAnsi="Arial" w:cs="Arial"/>
                <w:sz w:val="20"/>
                <w:szCs w:val="20"/>
              </w:rPr>
              <w:fldChar w:fldCharType="begin">
                <w:ffData>
                  <w:name w:val="Check7"/>
                  <w:enabled/>
                  <w:calcOnExit w:val="0"/>
                  <w:checkBox>
                    <w:sizeAuto/>
                    <w:default w:val="0"/>
                  </w:checkBox>
                </w:ffData>
              </w:fldChar>
            </w:r>
            <w:r w:rsidR="007A21B1" w:rsidRPr="00291562">
              <w:rPr>
                <w:rFonts w:ascii="Arial" w:hAnsi="Arial" w:cs="Arial"/>
                <w:sz w:val="20"/>
                <w:szCs w:val="20"/>
              </w:rPr>
              <w:instrText xml:space="preserve"> FORMCHECKBOX </w:instrText>
            </w:r>
            <w:r w:rsidR="006B130F">
              <w:rPr>
                <w:rFonts w:ascii="Arial" w:hAnsi="Arial" w:cs="Arial"/>
                <w:sz w:val="20"/>
                <w:szCs w:val="20"/>
              </w:rPr>
            </w:r>
            <w:r w:rsidR="006B130F">
              <w:rPr>
                <w:rFonts w:ascii="Arial" w:hAnsi="Arial" w:cs="Arial"/>
                <w:sz w:val="20"/>
                <w:szCs w:val="20"/>
              </w:rPr>
              <w:fldChar w:fldCharType="separate"/>
            </w:r>
            <w:r w:rsidRPr="00291562">
              <w:rPr>
                <w:rFonts w:ascii="Arial" w:hAnsi="Arial" w:cs="Arial"/>
                <w:sz w:val="20"/>
                <w:szCs w:val="20"/>
              </w:rPr>
              <w:fldChar w:fldCharType="end"/>
            </w:r>
            <w:r w:rsidR="007A21B1" w:rsidRPr="00291562">
              <w:rPr>
                <w:rFonts w:ascii="Arial" w:hAnsi="Arial" w:cs="Arial"/>
                <w:sz w:val="20"/>
                <w:szCs w:val="20"/>
              </w:rPr>
              <w:t xml:space="preserve">  </w:t>
            </w:r>
            <w:r w:rsidR="007A21B1">
              <w:rPr>
                <w:rFonts w:ascii="Arial" w:hAnsi="Arial" w:cs="Arial"/>
                <w:b/>
                <w:sz w:val="20"/>
                <w:szCs w:val="20"/>
              </w:rPr>
              <w:t>Correction/Clean-Up</w:t>
            </w:r>
            <w:r w:rsidR="00665A9F">
              <w:rPr>
                <w:rFonts w:ascii="Arial" w:hAnsi="Arial" w:cs="Arial"/>
                <w:b/>
                <w:sz w:val="20"/>
                <w:szCs w:val="20"/>
              </w:rPr>
              <w:t xml:space="preserve"> </w:t>
            </w:r>
            <w:r w:rsidR="00665A9F">
              <w:rPr>
                <w:rFonts w:ascii="Arial" w:hAnsi="Arial" w:cs="Arial"/>
                <w:b/>
                <w:sz w:val="20"/>
                <w:szCs w:val="20"/>
              </w:rPr>
              <w:tab/>
            </w:r>
            <w:r w:rsidRPr="00291562">
              <w:rPr>
                <w:rFonts w:ascii="Arial" w:hAnsi="Arial" w:cs="Arial"/>
                <w:sz w:val="20"/>
                <w:szCs w:val="20"/>
              </w:rPr>
              <w:fldChar w:fldCharType="begin">
                <w:ffData>
                  <w:name w:val="Check8"/>
                  <w:enabled/>
                  <w:calcOnExit w:val="0"/>
                  <w:checkBox>
                    <w:sizeAuto/>
                    <w:default w:val="0"/>
                  </w:checkBox>
                </w:ffData>
              </w:fldChar>
            </w:r>
            <w:r w:rsidR="007A21B1" w:rsidRPr="00291562">
              <w:rPr>
                <w:rFonts w:ascii="Arial" w:hAnsi="Arial" w:cs="Arial"/>
                <w:sz w:val="20"/>
                <w:szCs w:val="20"/>
              </w:rPr>
              <w:instrText xml:space="preserve"> FORMCHECKBOX </w:instrText>
            </w:r>
            <w:r w:rsidR="006B130F">
              <w:rPr>
                <w:rFonts w:ascii="Arial" w:hAnsi="Arial" w:cs="Arial"/>
                <w:sz w:val="20"/>
                <w:szCs w:val="20"/>
              </w:rPr>
            </w:r>
            <w:r w:rsidR="006B130F">
              <w:rPr>
                <w:rFonts w:ascii="Arial" w:hAnsi="Arial" w:cs="Arial"/>
                <w:sz w:val="20"/>
                <w:szCs w:val="20"/>
              </w:rPr>
              <w:fldChar w:fldCharType="separate"/>
            </w:r>
            <w:r w:rsidRPr="00291562">
              <w:rPr>
                <w:rFonts w:ascii="Arial" w:hAnsi="Arial" w:cs="Arial"/>
                <w:sz w:val="20"/>
                <w:szCs w:val="20"/>
              </w:rPr>
              <w:fldChar w:fldCharType="end"/>
            </w:r>
            <w:r w:rsidR="009E1473" w:rsidRPr="00291562">
              <w:rPr>
                <w:rFonts w:ascii="Arial" w:hAnsi="Arial" w:cs="Arial"/>
                <w:sz w:val="20"/>
                <w:szCs w:val="20"/>
              </w:rPr>
              <w:t xml:space="preserve">  </w:t>
            </w:r>
            <w:r w:rsidR="007A21B1">
              <w:rPr>
                <w:rFonts w:ascii="Arial" w:hAnsi="Arial" w:cs="Arial"/>
                <w:b/>
                <w:sz w:val="20"/>
                <w:szCs w:val="20"/>
              </w:rPr>
              <w:t>Clarification</w:t>
            </w:r>
            <w:r w:rsidR="007A21B1" w:rsidRPr="00291562">
              <w:rPr>
                <w:rFonts w:ascii="Arial" w:hAnsi="Arial" w:cs="Arial"/>
                <w:sz w:val="20"/>
                <w:szCs w:val="20"/>
              </w:rPr>
              <w:t xml:space="preserve">      </w:t>
            </w:r>
          </w:p>
          <w:p w:rsidR="007A21B1" w:rsidRPr="00291562" w:rsidRDefault="00936B11" w:rsidP="00665A9F">
            <w:pPr>
              <w:pStyle w:val="Header"/>
              <w:tabs>
                <w:tab w:val="left" w:pos="3582"/>
                <w:tab w:val="left" w:pos="3762"/>
              </w:tabs>
              <w:rPr>
                <w:rFonts w:ascii="Arial" w:hAnsi="Arial" w:cs="Arial"/>
                <w:sz w:val="20"/>
                <w:szCs w:val="20"/>
              </w:rPr>
            </w:pPr>
            <w:r>
              <w:rPr>
                <w:rFonts w:ascii="Arial" w:hAnsi="Arial" w:cs="Arial"/>
                <w:sz w:val="20"/>
                <w:szCs w:val="20"/>
              </w:rPr>
              <w:fldChar w:fldCharType="begin">
                <w:ffData>
                  <w:name w:val=""/>
                  <w:enabled/>
                  <w:calcOnExit w:val="0"/>
                  <w:checkBox>
                    <w:sizeAuto/>
                    <w:default w:val="1"/>
                  </w:checkBox>
                </w:ffData>
              </w:fldChar>
            </w:r>
            <w:r>
              <w:rPr>
                <w:rFonts w:ascii="Arial" w:hAnsi="Arial" w:cs="Arial"/>
                <w:sz w:val="20"/>
                <w:szCs w:val="20"/>
              </w:rPr>
              <w:instrText xml:space="preserve"> FORMCHECKBOX </w:instrText>
            </w:r>
            <w:r w:rsidR="006B130F">
              <w:rPr>
                <w:rFonts w:ascii="Arial" w:hAnsi="Arial" w:cs="Arial"/>
                <w:sz w:val="20"/>
                <w:szCs w:val="20"/>
              </w:rPr>
            </w:r>
            <w:r w:rsidR="006B130F">
              <w:rPr>
                <w:rFonts w:ascii="Arial" w:hAnsi="Arial" w:cs="Arial"/>
                <w:sz w:val="20"/>
                <w:szCs w:val="20"/>
              </w:rPr>
              <w:fldChar w:fldCharType="separate"/>
            </w:r>
            <w:r>
              <w:rPr>
                <w:rFonts w:ascii="Arial" w:hAnsi="Arial" w:cs="Arial"/>
                <w:sz w:val="20"/>
                <w:szCs w:val="20"/>
              </w:rPr>
              <w:fldChar w:fldCharType="end"/>
            </w:r>
            <w:r w:rsidR="009E1473" w:rsidRPr="00291562">
              <w:rPr>
                <w:rFonts w:ascii="Arial" w:hAnsi="Arial" w:cs="Arial"/>
                <w:sz w:val="20"/>
                <w:szCs w:val="20"/>
              </w:rPr>
              <w:t xml:space="preserve">  </w:t>
            </w:r>
            <w:r w:rsidR="007A21B1">
              <w:rPr>
                <w:rFonts w:ascii="Arial" w:hAnsi="Arial" w:cs="Arial"/>
                <w:b/>
                <w:sz w:val="20"/>
                <w:szCs w:val="20"/>
              </w:rPr>
              <w:t>Design Enhancement</w:t>
            </w:r>
            <w:r w:rsidR="00665A9F">
              <w:rPr>
                <w:rFonts w:ascii="Arial" w:hAnsi="Arial" w:cs="Arial"/>
                <w:b/>
                <w:sz w:val="20"/>
                <w:szCs w:val="20"/>
              </w:rPr>
              <w:t xml:space="preserve"> </w:t>
            </w:r>
            <w:r w:rsidR="00665A9F">
              <w:rPr>
                <w:rFonts w:ascii="Arial" w:hAnsi="Arial" w:cs="Arial"/>
                <w:b/>
                <w:sz w:val="20"/>
                <w:szCs w:val="20"/>
              </w:rPr>
              <w:tab/>
            </w:r>
            <w:r w:rsidR="00525140" w:rsidRPr="00291562">
              <w:rPr>
                <w:rFonts w:ascii="Arial" w:hAnsi="Arial" w:cs="Arial"/>
                <w:sz w:val="20"/>
                <w:szCs w:val="20"/>
              </w:rPr>
              <w:fldChar w:fldCharType="begin">
                <w:ffData>
                  <w:name w:val="Check8"/>
                  <w:enabled/>
                  <w:calcOnExit w:val="0"/>
                  <w:checkBox>
                    <w:sizeAuto/>
                    <w:default w:val="0"/>
                  </w:checkBox>
                </w:ffData>
              </w:fldChar>
            </w:r>
            <w:r w:rsidR="007A21B1" w:rsidRPr="00291562">
              <w:rPr>
                <w:rFonts w:ascii="Arial" w:hAnsi="Arial" w:cs="Arial"/>
                <w:sz w:val="20"/>
                <w:szCs w:val="20"/>
              </w:rPr>
              <w:instrText xml:space="preserve"> FORMCHECKBOX </w:instrText>
            </w:r>
            <w:r w:rsidR="006B130F">
              <w:rPr>
                <w:rFonts w:ascii="Arial" w:hAnsi="Arial" w:cs="Arial"/>
                <w:sz w:val="20"/>
                <w:szCs w:val="20"/>
              </w:rPr>
            </w:r>
            <w:r w:rsidR="006B130F">
              <w:rPr>
                <w:rFonts w:ascii="Arial" w:hAnsi="Arial" w:cs="Arial"/>
                <w:sz w:val="20"/>
                <w:szCs w:val="20"/>
              </w:rPr>
              <w:fldChar w:fldCharType="separate"/>
            </w:r>
            <w:r w:rsidR="00525140" w:rsidRPr="00291562">
              <w:rPr>
                <w:rFonts w:ascii="Arial" w:hAnsi="Arial" w:cs="Arial"/>
                <w:sz w:val="20"/>
                <w:szCs w:val="20"/>
              </w:rPr>
              <w:fldChar w:fldCharType="end"/>
            </w:r>
            <w:r w:rsidR="009E1473" w:rsidRPr="00291562">
              <w:rPr>
                <w:rFonts w:ascii="Arial" w:hAnsi="Arial" w:cs="Arial"/>
                <w:sz w:val="20"/>
                <w:szCs w:val="20"/>
              </w:rPr>
              <w:t xml:space="preserve">  </w:t>
            </w:r>
            <w:r w:rsidR="007A21B1">
              <w:rPr>
                <w:rFonts w:ascii="Arial" w:hAnsi="Arial" w:cs="Arial"/>
                <w:b/>
                <w:sz w:val="20"/>
                <w:szCs w:val="20"/>
              </w:rPr>
              <w:t>Design Change</w:t>
            </w:r>
            <w:r w:rsidR="007A21B1" w:rsidRPr="00291562">
              <w:rPr>
                <w:rFonts w:ascii="Arial" w:hAnsi="Arial" w:cs="Arial"/>
                <w:sz w:val="20"/>
                <w:szCs w:val="20"/>
              </w:rPr>
              <w:t xml:space="preserve">       </w:t>
            </w:r>
          </w:p>
        </w:tc>
      </w:tr>
      <w:tr w:rsidR="00842E7C" w:rsidRPr="00291562" w:rsidTr="001662EA">
        <w:trPr>
          <w:trHeight w:val="2483"/>
          <w:jc w:val="center"/>
        </w:trPr>
        <w:tc>
          <w:tcPr>
            <w:tcW w:w="2887" w:type="dxa"/>
            <w:gridSpan w:val="2"/>
            <w:tcBorders>
              <w:bottom w:val="single" w:sz="4" w:space="0" w:color="auto"/>
            </w:tcBorders>
            <w:shd w:val="clear" w:color="auto" w:fill="FFFFFF"/>
            <w:vAlign w:val="center"/>
          </w:tcPr>
          <w:p w:rsidR="00842E7C" w:rsidRPr="00291562" w:rsidRDefault="00842E7C" w:rsidP="0006281B">
            <w:pPr>
              <w:pStyle w:val="Header"/>
              <w:rPr>
                <w:rFonts w:ascii="Arial" w:hAnsi="Arial" w:cs="Arial"/>
                <w:b/>
                <w:sz w:val="20"/>
                <w:szCs w:val="20"/>
              </w:rPr>
            </w:pPr>
            <w:r w:rsidRPr="00291562">
              <w:rPr>
                <w:rFonts w:ascii="Arial" w:hAnsi="Arial" w:cs="Arial"/>
                <w:b/>
                <w:sz w:val="20"/>
                <w:szCs w:val="20"/>
              </w:rPr>
              <w:t>Reason for Revision</w:t>
            </w:r>
          </w:p>
        </w:tc>
        <w:tc>
          <w:tcPr>
            <w:tcW w:w="7553" w:type="dxa"/>
            <w:gridSpan w:val="2"/>
            <w:tcBorders>
              <w:bottom w:val="single" w:sz="4" w:space="0" w:color="auto"/>
            </w:tcBorders>
            <w:vAlign w:val="center"/>
          </w:tcPr>
          <w:p w:rsidR="00577697" w:rsidRDefault="00577697" w:rsidP="00577697">
            <w:pPr>
              <w:pStyle w:val="NormalArial"/>
              <w:rPr>
                <w:rFonts w:cs="Arial"/>
                <w:sz w:val="20"/>
                <w:szCs w:val="20"/>
              </w:rPr>
            </w:pPr>
            <w:r>
              <w:rPr>
                <w:rFonts w:cs="Arial"/>
                <w:sz w:val="20"/>
                <w:szCs w:val="20"/>
              </w:rPr>
              <w:t>The original intent of the current MPRR 138 language regarding treatment of selected LTCRs in the Annual ARR Allocation and Annual TCR Auction was that the LTCRs would ultimate</w:t>
            </w:r>
            <w:r w:rsidR="006110F0">
              <w:rPr>
                <w:rFonts w:cs="Arial"/>
                <w:sz w:val="20"/>
                <w:szCs w:val="20"/>
              </w:rPr>
              <w:t>ly</w:t>
            </w:r>
            <w:r>
              <w:rPr>
                <w:rFonts w:cs="Arial"/>
                <w:sz w:val="20"/>
                <w:szCs w:val="20"/>
              </w:rPr>
              <w:t xml:space="preserve"> </w:t>
            </w:r>
            <w:r w:rsidR="00CB03E5">
              <w:rPr>
                <w:rFonts w:cs="Arial"/>
                <w:sz w:val="20"/>
                <w:szCs w:val="20"/>
              </w:rPr>
              <w:t>be converted into ARRs and TCRs (Self-Converts)</w:t>
            </w:r>
            <w:r>
              <w:rPr>
                <w:rFonts w:cs="Arial"/>
                <w:sz w:val="20"/>
                <w:szCs w:val="20"/>
              </w:rPr>
              <w:t xml:space="preserve"> which would then flow through </w:t>
            </w:r>
            <w:r w:rsidR="00CB03E5">
              <w:rPr>
                <w:rFonts w:cs="Arial"/>
                <w:sz w:val="20"/>
                <w:szCs w:val="20"/>
              </w:rPr>
              <w:t>the TCR Auction settlement processes with no impact to the current processes.  In addition, the design assumed that that the conversion process of LTCR to ARR to TCR would occur at no cost to the LTCR holder.</w:t>
            </w:r>
            <w:r>
              <w:rPr>
                <w:rFonts w:cs="Arial"/>
                <w:sz w:val="20"/>
                <w:szCs w:val="20"/>
              </w:rPr>
              <w:t xml:space="preserve"> </w:t>
            </w:r>
            <w:r w:rsidR="00CB03E5">
              <w:rPr>
                <w:rFonts w:cs="Arial"/>
                <w:sz w:val="20"/>
                <w:szCs w:val="20"/>
              </w:rPr>
              <w:t xml:space="preserve"> </w:t>
            </w:r>
            <w:r w:rsidR="00C6022C">
              <w:rPr>
                <w:rFonts w:cs="Arial"/>
                <w:sz w:val="20"/>
                <w:szCs w:val="20"/>
              </w:rPr>
              <w:t xml:space="preserve">During the detailed requirements gathering process for implementation of LTCRs, </w:t>
            </w:r>
            <w:r w:rsidR="00CB03E5">
              <w:rPr>
                <w:rFonts w:cs="Arial"/>
                <w:sz w:val="20"/>
                <w:szCs w:val="20"/>
              </w:rPr>
              <w:t>an issue</w:t>
            </w:r>
            <w:r w:rsidR="00C6022C">
              <w:rPr>
                <w:rFonts w:cs="Arial"/>
                <w:sz w:val="20"/>
                <w:szCs w:val="20"/>
              </w:rPr>
              <w:t xml:space="preserve"> were uncovered with the original MPRR 138 language: </w:t>
            </w:r>
          </w:p>
          <w:p w:rsidR="00577697" w:rsidRDefault="00577697" w:rsidP="00577697">
            <w:pPr>
              <w:pStyle w:val="NormalArial"/>
              <w:rPr>
                <w:rFonts w:cs="Arial"/>
                <w:sz w:val="20"/>
                <w:szCs w:val="20"/>
              </w:rPr>
            </w:pPr>
          </w:p>
          <w:p w:rsidR="00842E7C" w:rsidRDefault="005C0893" w:rsidP="00577697">
            <w:pPr>
              <w:pStyle w:val="NormalArial"/>
              <w:rPr>
                <w:rFonts w:cs="Arial"/>
                <w:sz w:val="20"/>
                <w:szCs w:val="20"/>
              </w:rPr>
            </w:pPr>
            <w:r>
              <w:rPr>
                <w:rFonts w:cs="Arial"/>
                <w:sz w:val="20"/>
                <w:szCs w:val="20"/>
              </w:rPr>
              <w:t>The conversion of awarded LTCRs into ARRs and subsequent settlement of these ARRs and the associated Self-Converted TCRs will subject to ARR Uplift which would violate FERC Order 681</w:t>
            </w:r>
            <w:proofErr w:type="gramStart"/>
            <w:r>
              <w:rPr>
                <w:rFonts w:cs="Arial"/>
                <w:sz w:val="20"/>
                <w:szCs w:val="20"/>
              </w:rPr>
              <w:t>,Guideline</w:t>
            </w:r>
            <w:proofErr w:type="gramEnd"/>
            <w:r>
              <w:rPr>
                <w:rFonts w:cs="Arial"/>
                <w:sz w:val="20"/>
                <w:szCs w:val="20"/>
              </w:rPr>
              <w:t xml:space="preserve"> 7 (Initially allocated and not required to participate in an auction)</w:t>
            </w:r>
            <w:r w:rsidR="00577697">
              <w:rPr>
                <w:rFonts w:cs="Arial"/>
                <w:sz w:val="20"/>
                <w:szCs w:val="20"/>
              </w:rPr>
              <w:t>.  In addition, Self-Conversion of an ARR associated with an LTCR into a TCR and the ability to re-sell this TCR cannot be accomplished simultaneously with</w:t>
            </w:r>
            <w:r w:rsidR="00CB03E5">
              <w:rPr>
                <w:rFonts w:cs="Arial"/>
                <w:sz w:val="20"/>
                <w:szCs w:val="20"/>
              </w:rPr>
              <w:t>in</w:t>
            </w:r>
            <w:r w:rsidR="00577697">
              <w:rPr>
                <w:rFonts w:cs="Arial"/>
                <w:sz w:val="20"/>
                <w:szCs w:val="20"/>
              </w:rPr>
              <w:t xml:space="preserve"> the single round Annual TCR Auction</w:t>
            </w:r>
            <w:r w:rsidR="00CB03E5">
              <w:rPr>
                <w:rFonts w:cs="Arial"/>
                <w:sz w:val="20"/>
                <w:szCs w:val="20"/>
              </w:rPr>
              <w:t xml:space="preserve"> (i.e. cannot settle the same TCR as a Buy and a Sell)</w:t>
            </w:r>
            <w:r w:rsidR="00577697">
              <w:rPr>
                <w:rFonts w:cs="Arial"/>
                <w:sz w:val="20"/>
                <w:szCs w:val="20"/>
              </w:rPr>
              <w:t xml:space="preserve">. </w:t>
            </w:r>
          </w:p>
          <w:p w:rsidR="00577697" w:rsidRDefault="00577697" w:rsidP="00577697">
            <w:pPr>
              <w:pStyle w:val="NormalArial"/>
              <w:rPr>
                <w:rFonts w:cs="Arial"/>
                <w:sz w:val="20"/>
                <w:szCs w:val="20"/>
              </w:rPr>
            </w:pPr>
          </w:p>
          <w:p w:rsidR="00577697" w:rsidRPr="00291562" w:rsidRDefault="00CB03E5" w:rsidP="006110F0">
            <w:pPr>
              <w:pStyle w:val="NormalArial"/>
              <w:rPr>
                <w:rFonts w:cs="Arial"/>
                <w:sz w:val="20"/>
                <w:szCs w:val="20"/>
              </w:rPr>
            </w:pPr>
            <w:r>
              <w:rPr>
                <w:rFonts w:cs="Arial"/>
                <w:sz w:val="20"/>
                <w:szCs w:val="20"/>
              </w:rPr>
              <w:t xml:space="preserve">In addition, </w:t>
            </w:r>
            <w:r w:rsidR="006110F0">
              <w:rPr>
                <w:rFonts w:cs="Arial"/>
                <w:sz w:val="20"/>
                <w:szCs w:val="20"/>
              </w:rPr>
              <w:t xml:space="preserve">a </w:t>
            </w:r>
            <w:r w:rsidR="00577697">
              <w:rPr>
                <w:rFonts w:cs="Arial"/>
                <w:sz w:val="20"/>
                <w:szCs w:val="20"/>
              </w:rPr>
              <w:t>rule specifying that the total amount of selected LTCRs are subject to a maximum amount</w:t>
            </w:r>
            <w:r w:rsidR="006110F0">
              <w:rPr>
                <w:rFonts w:cs="Arial"/>
                <w:sz w:val="20"/>
                <w:szCs w:val="20"/>
              </w:rPr>
              <w:t xml:space="preserve"> are required</w:t>
            </w:r>
            <w:r w:rsidR="00577697">
              <w:rPr>
                <w:rFonts w:cs="Arial"/>
                <w:sz w:val="20"/>
                <w:szCs w:val="20"/>
              </w:rPr>
              <w:t xml:space="preserve"> (the equivalent of an ARR Nomination Cap)</w:t>
            </w:r>
            <w:r>
              <w:rPr>
                <w:rFonts w:cs="Arial"/>
                <w:sz w:val="20"/>
                <w:szCs w:val="20"/>
              </w:rPr>
              <w:t xml:space="preserve"> which is currently implied by the current MPRR 138 language.</w:t>
            </w:r>
          </w:p>
        </w:tc>
      </w:tr>
      <w:tr w:rsidR="00291562" w:rsidRPr="00291562" w:rsidTr="001662EA">
        <w:trPr>
          <w:trHeight w:val="2240"/>
          <w:jc w:val="center"/>
        </w:trPr>
        <w:tc>
          <w:tcPr>
            <w:tcW w:w="2887"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lastRenderedPageBreak/>
              <w:t>Revision Description</w:t>
            </w:r>
          </w:p>
        </w:tc>
        <w:tc>
          <w:tcPr>
            <w:tcW w:w="7553" w:type="dxa"/>
            <w:gridSpan w:val="2"/>
            <w:tcBorders>
              <w:bottom w:val="single" w:sz="4" w:space="0" w:color="auto"/>
            </w:tcBorders>
            <w:vAlign w:val="center"/>
          </w:tcPr>
          <w:p w:rsidR="00EA6AAD" w:rsidRDefault="00EA6AAD" w:rsidP="006B26F2">
            <w:pPr>
              <w:pStyle w:val="NormalArial"/>
              <w:rPr>
                <w:rFonts w:cs="Arial"/>
                <w:sz w:val="20"/>
                <w:szCs w:val="20"/>
              </w:rPr>
            </w:pPr>
            <w:r>
              <w:rPr>
                <w:rFonts w:cs="Arial"/>
                <w:sz w:val="20"/>
                <w:szCs w:val="20"/>
              </w:rPr>
              <w:t>These changes preserve the original intent of the MPRR 138 design by directly converting awarded LTCRs into TCRs prior to the ARR Annual Allocation.  These TCRs are then directly modeled as fixed injections and withdrawals as an input into both the Annual ARR Allocation and Annual TCR Auction.  This change ensures that LTCRs holder receive their LTCRs at zero cost and allows the associated TCRs to be resold in the Annual TCR Auction.</w:t>
            </w:r>
          </w:p>
          <w:p w:rsidR="00EA6AAD" w:rsidRDefault="00EA6AAD" w:rsidP="006B26F2">
            <w:pPr>
              <w:pStyle w:val="NormalArial"/>
              <w:rPr>
                <w:rFonts w:cs="Arial"/>
                <w:sz w:val="20"/>
                <w:szCs w:val="20"/>
              </w:rPr>
            </w:pPr>
          </w:p>
          <w:p w:rsidR="00291562" w:rsidRPr="00291562" w:rsidRDefault="00EA6AAD" w:rsidP="006B26F2">
            <w:pPr>
              <w:pStyle w:val="NormalArial"/>
              <w:rPr>
                <w:rFonts w:cs="Arial"/>
                <w:sz w:val="20"/>
                <w:szCs w:val="20"/>
              </w:rPr>
            </w:pPr>
            <w:r>
              <w:rPr>
                <w:rFonts w:cs="Arial"/>
                <w:sz w:val="20"/>
                <w:szCs w:val="20"/>
              </w:rPr>
              <w:t xml:space="preserve">Changes are also included that clarify that total LTCR selection is limited to </w:t>
            </w:r>
            <w:r w:rsidR="006110F0">
              <w:rPr>
                <w:rFonts w:cs="Arial"/>
                <w:sz w:val="20"/>
                <w:szCs w:val="20"/>
              </w:rPr>
              <w:t>a maximum amount.</w:t>
            </w:r>
            <w:r w:rsidR="00FF3D0B">
              <w:rPr>
                <w:rFonts w:cs="Arial"/>
                <w:sz w:val="20"/>
                <w:szCs w:val="20"/>
              </w:rPr>
              <w:t xml:space="preserve">  </w:t>
            </w:r>
            <w:r w:rsidR="00291562" w:rsidRPr="00291562">
              <w:rPr>
                <w:rFonts w:cs="Arial"/>
                <w:sz w:val="20"/>
                <w:szCs w:val="20"/>
              </w:rPr>
              <w:t xml:space="preserve">      </w:t>
            </w:r>
          </w:p>
        </w:tc>
      </w:tr>
      <w:tr w:rsidR="00291562" w:rsidRPr="00291562" w:rsidTr="00842E7C">
        <w:trPr>
          <w:trHeight w:val="1430"/>
          <w:jc w:val="center"/>
        </w:trPr>
        <w:tc>
          <w:tcPr>
            <w:tcW w:w="2887"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Tariff Implications or Changes </w:t>
            </w:r>
          </w:p>
        </w:tc>
        <w:tc>
          <w:tcPr>
            <w:tcW w:w="7553" w:type="dxa"/>
            <w:gridSpan w:val="2"/>
            <w:tcBorders>
              <w:bottom w:val="single" w:sz="4" w:space="0" w:color="auto"/>
            </w:tcBorders>
            <w:vAlign w:val="center"/>
          </w:tcPr>
          <w:p w:rsidR="00291562" w:rsidRPr="00291562" w:rsidRDefault="00053DBA" w:rsidP="00632164">
            <w:pPr>
              <w:pStyle w:val="NormalArial"/>
              <w:rPr>
                <w:rFonts w:cs="Arial"/>
                <w:i/>
                <w:sz w:val="20"/>
                <w:szCs w:val="20"/>
              </w:rPr>
            </w:pPr>
            <w:r>
              <w:rPr>
                <w:rFonts w:cs="Arial"/>
                <w:sz w:val="20"/>
                <w:szCs w:val="20"/>
              </w:rPr>
              <w:fldChar w:fldCharType="begin">
                <w:ffData>
                  <w:name w:val="Check1"/>
                  <w:enabled/>
                  <w:calcOnExit w:val="0"/>
                  <w:checkBox>
                    <w:sizeAuto/>
                    <w:default w:val="1"/>
                  </w:checkBox>
                </w:ffData>
              </w:fldChar>
            </w:r>
            <w:bookmarkStart w:id="5" w:name="Check1"/>
            <w:r>
              <w:rPr>
                <w:rFonts w:cs="Arial"/>
                <w:sz w:val="20"/>
                <w:szCs w:val="20"/>
              </w:rPr>
              <w:instrText xml:space="preserve"> FORMCHECKBOX </w:instrText>
            </w:r>
            <w:r w:rsidR="006B130F">
              <w:rPr>
                <w:rFonts w:cs="Arial"/>
                <w:sz w:val="20"/>
                <w:szCs w:val="20"/>
              </w:rPr>
            </w:r>
            <w:r w:rsidR="006B130F">
              <w:rPr>
                <w:rFonts w:cs="Arial"/>
                <w:sz w:val="20"/>
                <w:szCs w:val="20"/>
              </w:rPr>
              <w:fldChar w:fldCharType="separate"/>
            </w:r>
            <w:r>
              <w:rPr>
                <w:rFonts w:cs="Arial"/>
                <w:sz w:val="20"/>
                <w:szCs w:val="20"/>
              </w:rPr>
              <w:fldChar w:fldCharType="end"/>
            </w:r>
            <w:bookmarkEnd w:id="5"/>
            <w:r w:rsidR="009E1473" w:rsidRPr="00291562">
              <w:rPr>
                <w:rFonts w:cs="Arial"/>
                <w:sz w:val="20"/>
                <w:szCs w:val="20"/>
              </w:rPr>
              <w:t xml:space="preserve">  </w:t>
            </w:r>
            <w:r w:rsidR="00291562" w:rsidRPr="00291562">
              <w:rPr>
                <w:rFonts w:cs="Arial"/>
                <w:sz w:val="20"/>
                <w:szCs w:val="20"/>
              </w:rPr>
              <w:t>Yes – Section No</w:t>
            </w:r>
            <w:r w:rsidR="00C7446F">
              <w:rPr>
                <w:rFonts w:cs="Arial"/>
                <w:sz w:val="20"/>
                <w:szCs w:val="20"/>
              </w:rPr>
              <w:t>.</w:t>
            </w:r>
            <w:r w:rsidR="00291562" w:rsidRPr="00291562">
              <w:rPr>
                <w:rFonts w:cs="Arial"/>
                <w:sz w:val="20"/>
                <w:szCs w:val="20"/>
              </w:rPr>
              <w:t xml:space="preserve">: </w:t>
            </w:r>
            <w:r w:rsidR="00291562" w:rsidRPr="00291562">
              <w:rPr>
                <w:rFonts w:cs="Arial"/>
                <w:i/>
                <w:sz w:val="20"/>
                <w:szCs w:val="20"/>
              </w:rPr>
              <w:t>(Include a summary of impact and/or specific changes)</w:t>
            </w:r>
          </w:p>
          <w:p w:rsidR="00291562" w:rsidRPr="00291562" w:rsidRDefault="00291562" w:rsidP="00632164">
            <w:pPr>
              <w:pStyle w:val="NormalArial"/>
              <w:rPr>
                <w:rFonts w:cs="Arial"/>
                <w:sz w:val="20"/>
                <w:szCs w:val="20"/>
              </w:rPr>
            </w:pPr>
          </w:p>
          <w:p w:rsidR="00291562" w:rsidRPr="00053DBA" w:rsidRDefault="00053DBA" w:rsidP="00053DBA">
            <w:pPr>
              <w:pStyle w:val="Header"/>
              <w:rPr>
                <w:rFonts w:ascii="Arial" w:hAnsi="Arial" w:cs="Arial"/>
                <w:sz w:val="20"/>
                <w:szCs w:val="20"/>
              </w:rPr>
            </w:pPr>
            <w:r>
              <w:rPr>
                <w:rFonts w:ascii="Arial" w:hAnsi="Arial" w:cs="Arial"/>
                <w:sz w:val="20"/>
                <w:szCs w:val="20"/>
              </w:rPr>
              <w:t>Conforming Tariff Language will be provided.</w:t>
            </w:r>
          </w:p>
          <w:p w:rsidR="00291562" w:rsidRPr="00291562" w:rsidRDefault="00291562" w:rsidP="00632164">
            <w:pPr>
              <w:pStyle w:val="NormalArial"/>
              <w:rPr>
                <w:rFonts w:cs="Arial"/>
                <w:sz w:val="20"/>
                <w:szCs w:val="20"/>
              </w:rPr>
            </w:pPr>
          </w:p>
          <w:p w:rsidR="00291562" w:rsidRPr="00291562" w:rsidRDefault="00525140" w:rsidP="00632164">
            <w:pPr>
              <w:pStyle w:val="NormalArial"/>
              <w:rPr>
                <w:rFonts w:cs="Arial"/>
                <w:sz w:val="20"/>
                <w:szCs w:val="20"/>
              </w:rPr>
            </w:pPr>
            <w:r w:rsidRPr="00291562">
              <w:rPr>
                <w:rFonts w:cs="Arial"/>
                <w:sz w:val="20"/>
                <w:szCs w:val="20"/>
              </w:rPr>
              <w:fldChar w:fldCharType="begin">
                <w:ffData>
                  <w:name w:val="Check2"/>
                  <w:enabled/>
                  <w:calcOnExit w:val="0"/>
                  <w:checkBox>
                    <w:sizeAuto/>
                    <w:default w:val="0"/>
                  </w:checkBox>
                </w:ffData>
              </w:fldChar>
            </w:r>
            <w:bookmarkStart w:id="6" w:name="Check2"/>
            <w:r w:rsidR="00291562" w:rsidRPr="00291562">
              <w:rPr>
                <w:rFonts w:cs="Arial"/>
                <w:sz w:val="20"/>
                <w:szCs w:val="20"/>
              </w:rPr>
              <w:instrText xml:space="preserve"> FORMCHECKBOX </w:instrText>
            </w:r>
            <w:r w:rsidR="006B130F">
              <w:rPr>
                <w:rFonts w:cs="Arial"/>
                <w:sz w:val="20"/>
                <w:szCs w:val="20"/>
              </w:rPr>
            </w:r>
            <w:r w:rsidR="006B130F">
              <w:rPr>
                <w:rFonts w:cs="Arial"/>
                <w:sz w:val="20"/>
                <w:szCs w:val="20"/>
              </w:rPr>
              <w:fldChar w:fldCharType="separate"/>
            </w:r>
            <w:r w:rsidRPr="00291562">
              <w:rPr>
                <w:rFonts w:cs="Arial"/>
                <w:sz w:val="20"/>
                <w:szCs w:val="20"/>
              </w:rPr>
              <w:fldChar w:fldCharType="end"/>
            </w:r>
            <w:bookmarkEnd w:id="6"/>
            <w:r w:rsidR="009E1473" w:rsidRPr="00291562">
              <w:rPr>
                <w:rFonts w:cs="Arial"/>
                <w:sz w:val="20"/>
                <w:szCs w:val="20"/>
              </w:rPr>
              <w:t xml:space="preserve">  </w:t>
            </w:r>
            <w:r w:rsidR="00291562" w:rsidRPr="00291562">
              <w:rPr>
                <w:rFonts w:cs="Arial"/>
                <w:sz w:val="20"/>
                <w:szCs w:val="20"/>
              </w:rPr>
              <w:t>No</w:t>
            </w:r>
          </w:p>
        </w:tc>
      </w:tr>
      <w:tr w:rsidR="00291562" w:rsidRPr="00291562" w:rsidTr="00842E7C">
        <w:trPr>
          <w:trHeight w:val="1430"/>
          <w:jc w:val="center"/>
        </w:trPr>
        <w:tc>
          <w:tcPr>
            <w:tcW w:w="2887"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Criteria Implications or Changes </w:t>
            </w:r>
          </w:p>
        </w:tc>
        <w:tc>
          <w:tcPr>
            <w:tcW w:w="7553" w:type="dxa"/>
            <w:gridSpan w:val="2"/>
            <w:tcBorders>
              <w:bottom w:val="single" w:sz="4" w:space="0" w:color="auto"/>
            </w:tcBorders>
            <w:vAlign w:val="center"/>
          </w:tcPr>
          <w:p w:rsidR="00291562" w:rsidRPr="00291562" w:rsidRDefault="00525140" w:rsidP="006B26F2">
            <w:pPr>
              <w:pStyle w:val="NormalArial"/>
              <w:rPr>
                <w:rFonts w:cs="Arial"/>
                <w:i/>
                <w:sz w:val="20"/>
                <w:szCs w:val="20"/>
              </w:rPr>
            </w:pPr>
            <w:r w:rsidRPr="00291562">
              <w:rPr>
                <w:rFonts w:cs="Arial"/>
                <w:sz w:val="20"/>
                <w:szCs w:val="20"/>
              </w:rPr>
              <w:fldChar w:fldCharType="begin">
                <w:ffData>
                  <w:name w:val="Check3"/>
                  <w:enabled/>
                  <w:calcOnExit w:val="0"/>
                  <w:checkBox>
                    <w:sizeAuto/>
                    <w:default w:val="0"/>
                  </w:checkBox>
                </w:ffData>
              </w:fldChar>
            </w:r>
            <w:bookmarkStart w:id="7" w:name="Check3"/>
            <w:r w:rsidR="00291562" w:rsidRPr="00291562">
              <w:rPr>
                <w:rFonts w:cs="Arial"/>
                <w:sz w:val="20"/>
                <w:szCs w:val="20"/>
              </w:rPr>
              <w:instrText xml:space="preserve"> FORMCHECKBOX </w:instrText>
            </w:r>
            <w:r w:rsidR="006B130F">
              <w:rPr>
                <w:rFonts w:cs="Arial"/>
                <w:sz w:val="20"/>
                <w:szCs w:val="20"/>
              </w:rPr>
            </w:r>
            <w:r w:rsidR="006B130F">
              <w:rPr>
                <w:rFonts w:cs="Arial"/>
                <w:sz w:val="20"/>
                <w:szCs w:val="20"/>
              </w:rPr>
              <w:fldChar w:fldCharType="separate"/>
            </w:r>
            <w:r w:rsidRPr="00291562">
              <w:rPr>
                <w:rFonts w:cs="Arial"/>
                <w:sz w:val="20"/>
                <w:szCs w:val="20"/>
              </w:rPr>
              <w:fldChar w:fldCharType="end"/>
            </w:r>
            <w:bookmarkEnd w:id="7"/>
            <w:r w:rsidR="00E52B88" w:rsidRPr="00291562">
              <w:rPr>
                <w:rFonts w:cs="Arial"/>
                <w:sz w:val="20"/>
                <w:szCs w:val="20"/>
              </w:rPr>
              <w:t xml:space="preserve">  </w:t>
            </w:r>
            <w:r w:rsidR="00291562" w:rsidRPr="00291562">
              <w:rPr>
                <w:rFonts w:cs="Arial"/>
                <w:sz w:val="20"/>
                <w:szCs w:val="20"/>
              </w:rPr>
              <w:t>Yes  - Section No</w:t>
            </w:r>
            <w:r w:rsidR="00C7446F">
              <w:rPr>
                <w:rFonts w:cs="Arial"/>
                <w:sz w:val="20"/>
                <w:szCs w:val="20"/>
              </w:rPr>
              <w:t>.</w:t>
            </w:r>
            <w:r w:rsidR="00291562" w:rsidRPr="00291562">
              <w:rPr>
                <w:rFonts w:cs="Arial"/>
                <w:sz w:val="20"/>
                <w:szCs w:val="20"/>
              </w:rPr>
              <w:t xml:space="preserve">: </w:t>
            </w:r>
            <w:r w:rsidR="00291562" w:rsidRPr="00291562">
              <w:rPr>
                <w:rFonts w:cs="Arial"/>
                <w:i/>
                <w:sz w:val="20"/>
                <w:szCs w:val="20"/>
              </w:rPr>
              <w:t>(Include a summary of impact and/or specific changes)</w:t>
            </w:r>
          </w:p>
          <w:p w:rsidR="00291562" w:rsidRPr="00291562" w:rsidRDefault="00291562" w:rsidP="006B26F2">
            <w:pPr>
              <w:pStyle w:val="NormalArial"/>
              <w:rPr>
                <w:rFonts w:cs="Arial"/>
                <w:sz w:val="20"/>
                <w:szCs w:val="20"/>
              </w:rPr>
            </w:pPr>
          </w:p>
          <w:p w:rsidR="00291562" w:rsidRPr="00291562" w:rsidRDefault="00525140" w:rsidP="006B26F2">
            <w:pPr>
              <w:pStyle w:val="NormalArial"/>
              <w:rPr>
                <w:rFonts w:cs="Arial"/>
                <w:sz w:val="20"/>
                <w:szCs w:val="20"/>
              </w:rPr>
            </w:pPr>
            <w:r w:rsidRPr="00291562">
              <w:rPr>
                <w:rFonts w:cs="Arial"/>
                <w:sz w:val="20"/>
                <w:szCs w:val="20"/>
              </w:rPr>
              <w:fldChar w:fldCharType="begin">
                <w:ffData>
                  <w:name w:val="Text7"/>
                  <w:enabled/>
                  <w:calcOnExit w:val="0"/>
                  <w:textInput/>
                </w:ffData>
              </w:fldChar>
            </w:r>
            <w:bookmarkStart w:id="8" w:name="Text7"/>
            <w:r w:rsidR="00291562"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Pr="00291562">
              <w:rPr>
                <w:rFonts w:cs="Arial"/>
                <w:sz w:val="20"/>
                <w:szCs w:val="20"/>
              </w:rPr>
              <w:fldChar w:fldCharType="end"/>
            </w:r>
            <w:bookmarkEnd w:id="8"/>
          </w:p>
          <w:p w:rsidR="00291562" w:rsidRPr="00291562" w:rsidRDefault="00291562" w:rsidP="006B26F2">
            <w:pPr>
              <w:pStyle w:val="NormalArial"/>
              <w:rPr>
                <w:rFonts w:cs="Arial"/>
                <w:sz w:val="20"/>
                <w:szCs w:val="20"/>
              </w:rPr>
            </w:pPr>
          </w:p>
          <w:p w:rsidR="00291562" w:rsidRPr="00291562" w:rsidRDefault="00053DBA" w:rsidP="006B26F2">
            <w:pPr>
              <w:pStyle w:val="NormalArial"/>
              <w:rPr>
                <w:rFonts w:cs="Arial"/>
                <w:sz w:val="20"/>
                <w:szCs w:val="20"/>
              </w:rPr>
            </w:pPr>
            <w:r>
              <w:rPr>
                <w:rFonts w:cs="Arial"/>
                <w:sz w:val="20"/>
                <w:szCs w:val="20"/>
              </w:rPr>
              <w:fldChar w:fldCharType="begin">
                <w:ffData>
                  <w:name w:val="Check4"/>
                  <w:enabled/>
                  <w:calcOnExit w:val="0"/>
                  <w:checkBox>
                    <w:sizeAuto/>
                    <w:default w:val="1"/>
                  </w:checkBox>
                </w:ffData>
              </w:fldChar>
            </w:r>
            <w:bookmarkStart w:id="9" w:name="Check4"/>
            <w:r>
              <w:rPr>
                <w:rFonts w:cs="Arial"/>
                <w:sz w:val="20"/>
                <w:szCs w:val="20"/>
              </w:rPr>
              <w:instrText xml:space="preserve"> FORMCHECKBOX </w:instrText>
            </w:r>
            <w:r w:rsidR="006B130F">
              <w:rPr>
                <w:rFonts w:cs="Arial"/>
                <w:sz w:val="20"/>
                <w:szCs w:val="20"/>
              </w:rPr>
            </w:r>
            <w:r w:rsidR="006B130F">
              <w:rPr>
                <w:rFonts w:cs="Arial"/>
                <w:sz w:val="20"/>
                <w:szCs w:val="20"/>
              </w:rPr>
              <w:fldChar w:fldCharType="separate"/>
            </w:r>
            <w:r>
              <w:rPr>
                <w:rFonts w:cs="Arial"/>
                <w:sz w:val="20"/>
                <w:szCs w:val="20"/>
              </w:rPr>
              <w:fldChar w:fldCharType="end"/>
            </w:r>
            <w:bookmarkEnd w:id="9"/>
            <w:r w:rsidR="00E52B88" w:rsidRPr="00291562">
              <w:rPr>
                <w:rFonts w:cs="Arial"/>
                <w:sz w:val="20"/>
                <w:szCs w:val="20"/>
              </w:rPr>
              <w:t xml:space="preserve">  </w:t>
            </w:r>
            <w:r w:rsidR="00291562" w:rsidRPr="00291562">
              <w:rPr>
                <w:rFonts w:cs="Arial"/>
                <w:sz w:val="20"/>
                <w:szCs w:val="20"/>
              </w:rPr>
              <w:t>No</w:t>
            </w:r>
          </w:p>
        </w:tc>
      </w:tr>
      <w:tr w:rsidR="00291562" w:rsidRPr="00291562" w:rsidTr="00842E7C">
        <w:trPr>
          <w:trHeight w:val="1430"/>
          <w:jc w:val="center"/>
        </w:trPr>
        <w:tc>
          <w:tcPr>
            <w:tcW w:w="2887"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Credit Implications </w:t>
            </w:r>
          </w:p>
        </w:tc>
        <w:tc>
          <w:tcPr>
            <w:tcW w:w="7553" w:type="dxa"/>
            <w:gridSpan w:val="2"/>
            <w:tcBorders>
              <w:bottom w:val="single" w:sz="4" w:space="0" w:color="auto"/>
            </w:tcBorders>
            <w:vAlign w:val="center"/>
          </w:tcPr>
          <w:p w:rsidR="00291562" w:rsidRPr="00291562" w:rsidRDefault="00525140" w:rsidP="006B26F2">
            <w:pPr>
              <w:pStyle w:val="NormalArial"/>
              <w:rPr>
                <w:rFonts w:cs="Arial"/>
                <w:sz w:val="20"/>
                <w:szCs w:val="20"/>
              </w:rPr>
            </w:pPr>
            <w:r w:rsidRPr="00291562">
              <w:rPr>
                <w:rFonts w:cs="Arial"/>
                <w:sz w:val="20"/>
                <w:szCs w:val="20"/>
              </w:rPr>
              <w:fldChar w:fldCharType="begin">
                <w:ffData>
                  <w:name w:val="Check11"/>
                  <w:enabled/>
                  <w:calcOnExit w:val="0"/>
                  <w:checkBox>
                    <w:sizeAuto/>
                    <w:default w:val="0"/>
                  </w:checkBox>
                </w:ffData>
              </w:fldChar>
            </w:r>
            <w:bookmarkStart w:id="10" w:name="Check11"/>
            <w:r w:rsidR="00291562" w:rsidRPr="00291562">
              <w:rPr>
                <w:rFonts w:cs="Arial"/>
                <w:sz w:val="20"/>
                <w:szCs w:val="20"/>
              </w:rPr>
              <w:instrText xml:space="preserve"> FORMCHECKBOX </w:instrText>
            </w:r>
            <w:r w:rsidR="006B130F">
              <w:rPr>
                <w:rFonts w:cs="Arial"/>
                <w:sz w:val="20"/>
                <w:szCs w:val="20"/>
              </w:rPr>
            </w:r>
            <w:r w:rsidR="006B130F">
              <w:rPr>
                <w:rFonts w:cs="Arial"/>
                <w:sz w:val="20"/>
                <w:szCs w:val="20"/>
              </w:rPr>
              <w:fldChar w:fldCharType="separate"/>
            </w:r>
            <w:r w:rsidRPr="00291562">
              <w:rPr>
                <w:rFonts w:cs="Arial"/>
                <w:sz w:val="20"/>
                <w:szCs w:val="20"/>
              </w:rPr>
              <w:fldChar w:fldCharType="end"/>
            </w:r>
            <w:bookmarkEnd w:id="10"/>
            <w:r w:rsidR="00291562" w:rsidRPr="00291562">
              <w:rPr>
                <w:rFonts w:cs="Arial"/>
                <w:sz w:val="20"/>
                <w:szCs w:val="20"/>
              </w:rPr>
              <w:t xml:space="preserve"> Yes </w:t>
            </w:r>
            <w:r w:rsidR="00291562" w:rsidRPr="00291562">
              <w:rPr>
                <w:rFonts w:cs="Arial"/>
                <w:i/>
                <w:sz w:val="20"/>
                <w:szCs w:val="20"/>
              </w:rPr>
              <w:t>(Include a summary of impact and/or specific changes)</w:t>
            </w:r>
          </w:p>
          <w:p w:rsidR="00291562" w:rsidRPr="00291562" w:rsidRDefault="00291562" w:rsidP="006B26F2">
            <w:pPr>
              <w:pStyle w:val="NormalArial"/>
              <w:rPr>
                <w:rFonts w:cs="Arial"/>
                <w:sz w:val="20"/>
                <w:szCs w:val="20"/>
              </w:rPr>
            </w:pPr>
          </w:p>
          <w:p w:rsidR="00291562" w:rsidRPr="00291562" w:rsidRDefault="00525140" w:rsidP="006B26F2">
            <w:pPr>
              <w:pStyle w:val="NormalArial"/>
              <w:rPr>
                <w:rFonts w:cs="Arial"/>
                <w:sz w:val="20"/>
                <w:szCs w:val="20"/>
              </w:rPr>
            </w:pPr>
            <w:r w:rsidRPr="00291562">
              <w:rPr>
                <w:rFonts w:cs="Arial"/>
                <w:sz w:val="20"/>
                <w:szCs w:val="20"/>
              </w:rPr>
              <w:fldChar w:fldCharType="begin">
                <w:ffData>
                  <w:name w:val="Text8"/>
                  <w:enabled/>
                  <w:calcOnExit w:val="0"/>
                  <w:textInput/>
                </w:ffData>
              </w:fldChar>
            </w:r>
            <w:bookmarkStart w:id="11" w:name="Text8"/>
            <w:r w:rsidR="00291562"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Pr="00291562">
              <w:rPr>
                <w:rFonts w:cs="Arial"/>
                <w:sz w:val="20"/>
                <w:szCs w:val="20"/>
              </w:rPr>
              <w:fldChar w:fldCharType="end"/>
            </w:r>
            <w:bookmarkEnd w:id="11"/>
          </w:p>
          <w:p w:rsidR="00291562" w:rsidRPr="00291562" w:rsidRDefault="00291562" w:rsidP="006B26F2">
            <w:pPr>
              <w:pStyle w:val="NormalArial"/>
              <w:rPr>
                <w:rFonts w:cs="Arial"/>
                <w:sz w:val="20"/>
                <w:szCs w:val="20"/>
              </w:rPr>
            </w:pPr>
          </w:p>
          <w:p w:rsidR="00291562" w:rsidRPr="00291562" w:rsidRDefault="00053DBA" w:rsidP="006B26F2">
            <w:pPr>
              <w:pStyle w:val="NormalArial"/>
              <w:rPr>
                <w:rFonts w:cs="Arial"/>
                <w:sz w:val="20"/>
                <w:szCs w:val="20"/>
              </w:rPr>
            </w:pPr>
            <w:r>
              <w:rPr>
                <w:rFonts w:cs="Arial"/>
                <w:sz w:val="20"/>
                <w:szCs w:val="20"/>
              </w:rPr>
              <w:fldChar w:fldCharType="begin">
                <w:ffData>
                  <w:name w:val="Check12"/>
                  <w:enabled/>
                  <w:calcOnExit w:val="0"/>
                  <w:checkBox>
                    <w:sizeAuto/>
                    <w:default w:val="1"/>
                  </w:checkBox>
                </w:ffData>
              </w:fldChar>
            </w:r>
            <w:bookmarkStart w:id="12" w:name="Check12"/>
            <w:r>
              <w:rPr>
                <w:rFonts w:cs="Arial"/>
                <w:sz w:val="20"/>
                <w:szCs w:val="20"/>
              </w:rPr>
              <w:instrText xml:space="preserve"> FORMCHECKBOX </w:instrText>
            </w:r>
            <w:r w:rsidR="006B130F">
              <w:rPr>
                <w:rFonts w:cs="Arial"/>
                <w:sz w:val="20"/>
                <w:szCs w:val="20"/>
              </w:rPr>
            </w:r>
            <w:r w:rsidR="006B130F">
              <w:rPr>
                <w:rFonts w:cs="Arial"/>
                <w:sz w:val="20"/>
                <w:szCs w:val="20"/>
              </w:rPr>
              <w:fldChar w:fldCharType="separate"/>
            </w:r>
            <w:r>
              <w:rPr>
                <w:rFonts w:cs="Arial"/>
                <w:sz w:val="20"/>
                <w:szCs w:val="20"/>
              </w:rPr>
              <w:fldChar w:fldCharType="end"/>
            </w:r>
            <w:bookmarkEnd w:id="12"/>
            <w:r w:rsidR="00E52B88" w:rsidRPr="00291562">
              <w:rPr>
                <w:rFonts w:cs="Arial"/>
                <w:sz w:val="20"/>
                <w:szCs w:val="20"/>
              </w:rPr>
              <w:t xml:space="preserve">  </w:t>
            </w:r>
            <w:r w:rsidR="00291562" w:rsidRPr="00291562">
              <w:rPr>
                <w:rFonts w:cs="Arial"/>
                <w:sz w:val="20"/>
                <w:szCs w:val="20"/>
              </w:rPr>
              <w:t>No</w:t>
            </w:r>
          </w:p>
        </w:tc>
      </w:tr>
    </w:tbl>
    <w:p w:rsidR="00974109" w:rsidRDefault="00974109" w:rsidP="00974109">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7560"/>
      </w:tblGrid>
      <w:tr w:rsidR="00D40927" w:rsidRPr="00D545F2" w:rsidTr="0006281B">
        <w:trPr>
          <w:trHeight w:val="288"/>
          <w:jc w:val="center"/>
        </w:trPr>
        <w:tc>
          <w:tcPr>
            <w:tcW w:w="2880" w:type="dxa"/>
            <w:tcBorders>
              <w:top w:val="single" w:sz="4" w:space="0" w:color="auto"/>
              <w:left w:val="single" w:sz="4" w:space="0" w:color="auto"/>
              <w:bottom w:val="single" w:sz="4" w:space="0" w:color="auto"/>
              <w:right w:val="single" w:sz="4" w:space="0" w:color="auto"/>
            </w:tcBorders>
            <w:vAlign w:val="center"/>
          </w:tcPr>
          <w:p w:rsidR="00D40927" w:rsidRPr="00D545F2" w:rsidRDefault="00D40927" w:rsidP="0006281B">
            <w:pPr>
              <w:pStyle w:val="Header"/>
              <w:rPr>
                <w:rFonts w:ascii="Arial" w:hAnsi="Arial" w:cs="Arial"/>
                <w:b/>
                <w:sz w:val="20"/>
                <w:szCs w:val="20"/>
              </w:rPr>
            </w:pPr>
            <w:r w:rsidRPr="00D545F2">
              <w:rPr>
                <w:rFonts w:ascii="Arial" w:hAnsi="Arial" w:cs="Arial"/>
                <w:b/>
                <w:sz w:val="20"/>
                <w:szCs w:val="20"/>
              </w:rPr>
              <w:t>Date</w:t>
            </w:r>
          </w:p>
        </w:tc>
        <w:tc>
          <w:tcPr>
            <w:tcW w:w="7560" w:type="dxa"/>
            <w:tcBorders>
              <w:top w:val="single" w:sz="4" w:space="0" w:color="auto"/>
              <w:left w:val="single" w:sz="4" w:space="0" w:color="auto"/>
              <w:bottom w:val="single" w:sz="4" w:space="0" w:color="auto"/>
              <w:right w:val="single" w:sz="4" w:space="0" w:color="auto"/>
            </w:tcBorders>
            <w:vAlign w:val="center"/>
          </w:tcPr>
          <w:p w:rsidR="00D40927" w:rsidRPr="00D545F2" w:rsidRDefault="00E830BA" w:rsidP="0006281B">
            <w:pPr>
              <w:pStyle w:val="NormalArial"/>
              <w:rPr>
                <w:rFonts w:cs="Arial"/>
                <w:sz w:val="20"/>
                <w:szCs w:val="20"/>
              </w:rPr>
            </w:pPr>
            <w:r>
              <w:rPr>
                <w:rFonts w:cs="Arial"/>
                <w:sz w:val="20"/>
                <w:szCs w:val="20"/>
              </w:rPr>
              <w:t>3/12/2014</w:t>
            </w:r>
          </w:p>
        </w:tc>
      </w:tr>
    </w:tbl>
    <w:p w:rsidR="00D40927" w:rsidRDefault="00D40927" w:rsidP="00974109">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7560"/>
      </w:tblGrid>
      <w:tr w:rsidR="00D40927" w:rsidRPr="00D545F2" w:rsidTr="0006281B">
        <w:trPr>
          <w:trHeight w:val="216"/>
          <w:jc w:val="center"/>
        </w:trPr>
        <w:tc>
          <w:tcPr>
            <w:tcW w:w="10440" w:type="dxa"/>
            <w:gridSpan w:val="2"/>
            <w:tcBorders>
              <w:top w:val="single" w:sz="4" w:space="0" w:color="auto"/>
            </w:tcBorders>
            <w:shd w:val="clear" w:color="auto" w:fill="FFFFFF"/>
            <w:vAlign w:val="center"/>
          </w:tcPr>
          <w:p w:rsidR="00D40927" w:rsidRPr="00D545F2" w:rsidRDefault="00D40927" w:rsidP="0006281B">
            <w:pPr>
              <w:pStyle w:val="Header"/>
              <w:jc w:val="center"/>
              <w:rPr>
                <w:rFonts w:ascii="Arial" w:hAnsi="Arial" w:cs="Arial"/>
                <w:b/>
                <w:sz w:val="20"/>
                <w:szCs w:val="20"/>
              </w:rPr>
            </w:pPr>
            <w:r w:rsidRPr="00632164">
              <w:rPr>
                <w:rFonts w:ascii="Arial" w:hAnsi="Arial" w:cs="Arial"/>
                <w:b/>
                <w:sz w:val="20"/>
                <w:szCs w:val="20"/>
              </w:rPr>
              <w:t>Sponsor</w:t>
            </w:r>
          </w:p>
        </w:tc>
      </w:tr>
      <w:tr w:rsidR="00D40927" w:rsidRPr="00D545F2" w:rsidTr="0006281B">
        <w:trPr>
          <w:trHeight w:val="216"/>
          <w:jc w:val="center"/>
        </w:trPr>
        <w:tc>
          <w:tcPr>
            <w:tcW w:w="2880" w:type="dxa"/>
            <w:shd w:val="clear" w:color="auto" w:fill="FFFFFF"/>
            <w:vAlign w:val="center"/>
          </w:tcPr>
          <w:p w:rsidR="00D40927" w:rsidRPr="00D545F2" w:rsidRDefault="00D40927" w:rsidP="0006281B">
            <w:pPr>
              <w:pStyle w:val="Header"/>
              <w:rPr>
                <w:rFonts w:ascii="Arial" w:hAnsi="Arial" w:cs="Arial"/>
                <w:b/>
                <w:bCs/>
                <w:sz w:val="20"/>
                <w:szCs w:val="20"/>
              </w:rPr>
            </w:pPr>
            <w:r w:rsidRPr="00D545F2">
              <w:rPr>
                <w:rFonts w:ascii="Arial" w:hAnsi="Arial" w:cs="Arial"/>
                <w:b/>
                <w:bCs/>
                <w:sz w:val="20"/>
                <w:szCs w:val="20"/>
              </w:rPr>
              <w:t>Name</w:t>
            </w:r>
          </w:p>
        </w:tc>
        <w:tc>
          <w:tcPr>
            <w:tcW w:w="7560" w:type="dxa"/>
            <w:vAlign w:val="center"/>
          </w:tcPr>
          <w:p w:rsidR="00D40927" w:rsidRPr="00D545F2" w:rsidRDefault="00936B11" w:rsidP="0006281B">
            <w:pPr>
              <w:pStyle w:val="NormalArial"/>
              <w:rPr>
                <w:rFonts w:cs="Arial"/>
                <w:sz w:val="20"/>
                <w:szCs w:val="20"/>
              </w:rPr>
            </w:pPr>
            <w:r>
              <w:rPr>
                <w:rFonts w:cs="Arial"/>
                <w:sz w:val="20"/>
                <w:szCs w:val="20"/>
              </w:rPr>
              <w:t>Debbie James</w:t>
            </w:r>
          </w:p>
        </w:tc>
      </w:tr>
      <w:tr w:rsidR="00D40927" w:rsidRPr="00D545F2" w:rsidTr="0006281B">
        <w:trPr>
          <w:trHeight w:val="216"/>
          <w:jc w:val="center"/>
        </w:trPr>
        <w:tc>
          <w:tcPr>
            <w:tcW w:w="2880" w:type="dxa"/>
            <w:shd w:val="clear" w:color="auto" w:fill="FFFFFF"/>
            <w:vAlign w:val="center"/>
          </w:tcPr>
          <w:p w:rsidR="00D40927" w:rsidRPr="00D545F2" w:rsidRDefault="00D40927" w:rsidP="0006281B">
            <w:pPr>
              <w:pStyle w:val="Header"/>
              <w:rPr>
                <w:rFonts w:ascii="Arial" w:hAnsi="Arial" w:cs="Arial"/>
                <w:b/>
                <w:bCs/>
                <w:sz w:val="20"/>
                <w:szCs w:val="20"/>
              </w:rPr>
            </w:pPr>
            <w:r w:rsidRPr="00D545F2">
              <w:rPr>
                <w:rFonts w:ascii="Arial" w:hAnsi="Arial" w:cs="Arial"/>
                <w:b/>
                <w:bCs/>
                <w:sz w:val="20"/>
                <w:szCs w:val="20"/>
              </w:rPr>
              <w:t>E-mail Address</w:t>
            </w:r>
          </w:p>
        </w:tc>
        <w:tc>
          <w:tcPr>
            <w:tcW w:w="7560" w:type="dxa"/>
            <w:vAlign w:val="center"/>
          </w:tcPr>
          <w:p w:rsidR="00D40927" w:rsidRPr="00D545F2" w:rsidRDefault="006B130F" w:rsidP="0006281B">
            <w:pPr>
              <w:pStyle w:val="NormalArial"/>
              <w:rPr>
                <w:rFonts w:cs="Arial"/>
                <w:sz w:val="20"/>
                <w:szCs w:val="20"/>
              </w:rPr>
            </w:pPr>
            <w:hyperlink r:id="rId11" w:history="1">
              <w:r w:rsidR="00936B11" w:rsidRPr="00A73882">
                <w:rPr>
                  <w:rStyle w:val="Hyperlink"/>
                  <w:rFonts w:cs="Arial"/>
                  <w:sz w:val="20"/>
                  <w:szCs w:val="20"/>
                </w:rPr>
                <w:t>djames@spp.org</w:t>
              </w:r>
            </w:hyperlink>
          </w:p>
        </w:tc>
      </w:tr>
      <w:tr w:rsidR="00D40927" w:rsidRPr="00D545F2" w:rsidTr="0006281B">
        <w:trPr>
          <w:trHeight w:val="216"/>
          <w:jc w:val="center"/>
        </w:trPr>
        <w:tc>
          <w:tcPr>
            <w:tcW w:w="2880" w:type="dxa"/>
            <w:shd w:val="clear" w:color="auto" w:fill="FFFFFF"/>
            <w:vAlign w:val="center"/>
          </w:tcPr>
          <w:p w:rsidR="00D40927" w:rsidRPr="00D545F2" w:rsidRDefault="00D40927" w:rsidP="0006281B">
            <w:pPr>
              <w:pStyle w:val="Header"/>
              <w:rPr>
                <w:rFonts w:ascii="Arial" w:hAnsi="Arial" w:cs="Arial"/>
                <w:b/>
                <w:bCs/>
                <w:sz w:val="20"/>
                <w:szCs w:val="20"/>
              </w:rPr>
            </w:pPr>
            <w:r w:rsidRPr="00D545F2">
              <w:rPr>
                <w:rFonts w:ascii="Arial" w:hAnsi="Arial" w:cs="Arial"/>
                <w:b/>
                <w:bCs/>
                <w:sz w:val="20"/>
                <w:szCs w:val="20"/>
              </w:rPr>
              <w:t>Company</w:t>
            </w:r>
          </w:p>
        </w:tc>
        <w:tc>
          <w:tcPr>
            <w:tcW w:w="7560" w:type="dxa"/>
            <w:vAlign w:val="center"/>
          </w:tcPr>
          <w:p w:rsidR="00D40927" w:rsidRPr="00D545F2" w:rsidRDefault="00936B11" w:rsidP="0006281B">
            <w:pPr>
              <w:pStyle w:val="NormalArial"/>
              <w:rPr>
                <w:rFonts w:cs="Arial"/>
                <w:sz w:val="20"/>
                <w:szCs w:val="20"/>
              </w:rPr>
            </w:pPr>
            <w:r>
              <w:rPr>
                <w:rFonts w:cs="Arial"/>
                <w:sz w:val="20"/>
                <w:szCs w:val="20"/>
              </w:rPr>
              <w:t>Southwest Power Pool</w:t>
            </w:r>
          </w:p>
        </w:tc>
      </w:tr>
      <w:tr w:rsidR="00D40927" w:rsidRPr="00D545F2" w:rsidTr="0006281B">
        <w:trPr>
          <w:trHeight w:val="216"/>
          <w:jc w:val="center"/>
        </w:trPr>
        <w:tc>
          <w:tcPr>
            <w:tcW w:w="2880" w:type="dxa"/>
            <w:tcBorders>
              <w:bottom w:val="single" w:sz="4" w:space="0" w:color="auto"/>
            </w:tcBorders>
            <w:shd w:val="clear" w:color="auto" w:fill="FFFFFF"/>
            <w:vAlign w:val="center"/>
          </w:tcPr>
          <w:p w:rsidR="00D40927" w:rsidRPr="00D545F2" w:rsidRDefault="00D40927" w:rsidP="0006281B">
            <w:pPr>
              <w:pStyle w:val="Header"/>
              <w:rPr>
                <w:rFonts w:ascii="Arial" w:hAnsi="Arial" w:cs="Arial"/>
                <w:b/>
                <w:bCs/>
                <w:sz w:val="20"/>
                <w:szCs w:val="20"/>
              </w:rPr>
            </w:pPr>
            <w:r w:rsidRPr="00D545F2">
              <w:rPr>
                <w:rFonts w:ascii="Arial" w:hAnsi="Arial" w:cs="Arial"/>
                <w:b/>
                <w:bCs/>
                <w:sz w:val="20"/>
                <w:szCs w:val="20"/>
              </w:rPr>
              <w:t>Phone Number</w:t>
            </w:r>
          </w:p>
        </w:tc>
        <w:tc>
          <w:tcPr>
            <w:tcW w:w="7560" w:type="dxa"/>
            <w:tcBorders>
              <w:bottom w:val="single" w:sz="4" w:space="0" w:color="auto"/>
            </w:tcBorders>
            <w:vAlign w:val="center"/>
          </w:tcPr>
          <w:p w:rsidR="00D40927" w:rsidRPr="00D545F2" w:rsidRDefault="00936B11" w:rsidP="0006281B">
            <w:pPr>
              <w:pStyle w:val="NormalArial"/>
              <w:rPr>
                <w:rFonts w:cs="Arial"/>
                <w:sz w:val="20"/>
                <w:szCs w:val="20"/>
              </w:rPr>
            </w:pPr>
            <w:r>
              <w:rPr>
                <w:rFonts w:cs="Arial"/>
                <w:sz w:val="20"/>
                <w:szCs w:val="20"/>
              </w:rPr>
              <w:t>501.614.3577</w:t>
            </w:r>
          </w:p>
        </w:tc>
      </w:tr>
    </w:tbl>
    <w:p w:rsidR="00D40927" w:rsidRDefault="00D40927" w:rsidP="00974109">
      <w:pPr>
        <w:pStyle w:val="NormalArial"/>
        <w:rPr>
          <w:rFonts w:cs="Arial"/>
          <w:sz w:val="20"/>
          <w:szCs w:val="20"/>
        </w:rPr>
      </w:pPr>
    </w:p>
    <w:p w:rsidR="00D40927" w:rsidRPr="00632164" w:rsidRDefault="00D40927" w:rsidP="00974109">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632164" w:rsidRPr="00632164" w:rsidTr="001E07B2">
        <w:trPr>
          <w:trHeight w:hRule="exact" w:val="346"/>
          <w:jc w:val="center"/>
        </w:trPr>
        <w:tc>
          <w:tcPr>
            <w:tcW w:w="10440" w:type="dxa"/>
            <w:tcBorders>
              <w:bottom w:val="single" w:sz="4" w:space="0" w:color="auto"/>
            </w:tcBorders>
            <w:shd w:val="clear" w:color="auto" w:fill="FFFFFF"/>
            <w:vAlign w:val="center"/>
          </w:tcPr>
          <w:p w:rsidR="00632164" w:rsidRPr="00632164" w:rsidRDefault="00632164" w:rsidP="00632164">
            <w:pPr>
              <w:pStyle w:val="Header"/>
              <w:jc w:val="center"/>
              <w:rPr>
                <w:rFonts w:ascii="Arial" w:hAnsi="Arial" w:cs="Arial"/>
                <w:b/>
                <w:sz w:val="20"/>
                <w:szCs w:val="20"/>
              </w:rPr>
            </w:pPr>
            <w:r w:rsidRPr="00632164">
              <w:rPr>
                <w:rFonts w:ascii="Arial" w:hAnsi="Arial" w:cs="Arial"/>
                <w:b/>
                <w:sz w:val="20"/>
                <w:szCs w:val="20"/>
              </w:rPr>
              <w:t>Proposed Protocol Language Revision</w:t>
            </w:r>
          </w:p>
        </w:tc>
      </w:tr>
    </w:tbl>
    <w:p w:rsidR="00632164" w:rsidRPr="00632164" w:rsidRDefault="00632164" w:rsidP="008E003B">
      <w:pPr>
        <w:pStyle w:val="Header"/>
        <w:rPr>
          <w:rFonts w:ascii="Arial" w:hAnsi="Arial" w:cs="Arial"/>
          <w:sz w:val="20"/>
          <w:szCs w:val="20"/>
        </w:rPr>
      </w:pPr>
    </w:p>
    <w:p w:rsidR="00936B11" w:rsidRPr="00936B11" w:rsidRDefault="00936B11" w:rsidP="00936B11">
      <w:pPr>
        <w:pStyle w:val="Heading2"/>
        <w:numPr>
          <w:ilvl w:val="1"/>
          <w:numId w:val="0"/>
        </w:numPr>
        <w:tabs>
          <w:tab w:val="num" w:pos="2340"/>
        </w:tabs>
        <w:spacing w:after="240"/>
        <w:ind w:left="1080" w:hanging="1080"/>
        <w:jc w:val="both"/>
        <w:rPr>
          <w:rFonts w:ascii="Times New Roman" w:hAnsi="Times New Roman"/>
          <w:i w:val="0"/>
          <w:sz w:val="24"/>
          <w:szCs w:val="24"/>
        </w:rPr>
      </w:pPr>
      <w:bookmarkStart w:id="13" w:name="_Toc381089753"/>
      <w:bookmarkStart w:id="14" w:name="OLE_LINK251"/>
      <w:bookmarkStart w:id="15" w:name="OLE_LINK252"/>
      <w:bookmarkStart w:id="16" w:name="OLE_LINK142"/>
      <w:r>
        <w:rPr>
          <w:rFonts w:ascii="Times New Roman" w:hAnsi="Times New Roman"/>
          <w:i w:val="0"/>
          <w:sz w:val="24"/>
          <w:szCs w:val="24"/>
        </w:rPr>
        <w:t>3.2</w:t>
      </w:r>
      <w:r>
        <w:rPr>
          <w:rFonts w:ascii="Times New Roman" w:hAnsi="Times New Roman"/>
          <w:i w:val="0"/>
          <w:sz w:val="24"/>
          <w:szCs w:val="24"/>
        </w:rPr>
        <w:tab/>
      </w:r>
      <w:r w:rsidRPr="00936B11">
        <w:rPr>
          <w:rFonts w:ascii="Times New Roman" w:hAnsi="Times New Roman"/>
          <w:i w:val="0"/>
          <w:sz w:val="24"/>
          <w:szCs w:val="24"/>
        </w:rPr>
        <w:t>Transmission Congestion Rights Markets</w:t>
      </w:r>
      <w:bookmarkEnd w:id="13"/>
    </w:p>
    <w:p w:rsidR="00936B11" w:rsidRDefault="00936B11" w:rsidP="00936B11">
      <w:pPr>
        <w:pStyle w:val="ParaText"/>
        <w:spacing w:before="120"/>
        <w:rPr>
          <w:szCs w:val="24"/>
        </w:rPr>
      </w:pPr>
      <w:r>
        <w:rPr>
          <w:szCs w:val="24"/>
        </w:rPr>
        <w:t xml:space="preserve">The structure of the TCR Markets includes allocation of </w:t>
      </w:r>
      <w:commentRangeStart w:id="17"/>
      <w:r w:rsidRPr="005E43E7">
        <w:t>Long</w:t>
      </w:r>
      <w:r>
        <w:t>-</w:t>
      </w:r>
      <w:r w:rsidRPr="005E43E7">
        <w:t>Term Congestion Rights (LTCRs) to Eligible Entities and annual and monthly nomination and allocation of</w:t>
      </w:r>
      <w:r>
        <w:rPr>
          <w:szCs w:val="24"/>
        </w:rPr>
        <w:t xml:space="preserve"> </w:t>
      </w:r>
      <w:commentRangeEnd w:id="17"/>
      <w:r>
        <w:rPr>
          <w:rStyle w:val="CommentReference"/>
        </w:rPr>
        <w:commentReference w:id="17"/>
      </w:r>
      <w:r>
        <w:rPr>
          <w:szCs w:val="24"/>
        </w:rPr>
        <w:t>Auction Revenue Rights (ARRs) to Eligible Entities</w:t>
      </w:r>
      <w:r w:rsidRPr="00ED39D3">
        <w:rPr>
          <w:szCs w:val="24"/>
        </w:rPr>
        <w:t xml:space="preserve"> </w:t>
      </w:r>
      <w:r>
        <w:rPr>
          <w:szCs w:val="24"/>
        </w:rPr>
        <w:t>followed by annual and monthly TCR Auctions.  Eligible Entities</w:t>
      </w:r>
      <w:commentRangeStart w:id="18"/>
      <w:r w:rsidRPr="00FD6907">
        <w:t xml:space="preserve"> </w:t>
      </w:r>
      <w:r w:rsidRPr="005E43E7">
        <w:t>for ARRs</w:t>
      </w:r>
      <w:commentRangeEnd w:id="18"/>
      <w:r>
        <w:rPr>
          <w:rStyle w:val="CommentReference"/>
        </w:rPr>
        <w:commentReference w:id="18"/>
      </w:r>
      <w:r>
        <w:rPr>
          <w:szCs w:val="24"/>
        </w:rPr>
        <w:t xml:space="preserve"> include Transmission Customers with firm SPP transmission service and entities with firm non-SPP transmission service (commonly referred to as a “grandfathered agreement or GFA”) into, out of, within or through the SPP Region that have identified such </w:t>
      </w:r>
      <w:r>
        <w:rPr>
          <w:szCs w:val="24"/>
        </w:rPr>
        <w:lastRenderedPageBreak/>
        <w:t xml:space="preserve">service during the annual </w:t>
      </w:r>
      <w:commentRangeStart w:id="19"/>
      <w:r w:rsidRPr="005E43E7">
        <w:t>LTCR/</w:t>
      </w:r>
      <w:commentRangeEnd w:id="19"/>
      <w:r>
        <w:rPr>
          <w:rStyle w:val="CommentReference"/>
        </w:rPr>
        <w:commentReference w:id="19"/>
      </w:r>
      <w:r>
        <w:rPr>
          <w:szCs w:val="24"/>
        </w:rPr>
        <w:t xml:space="preserve">ARR verification process.  </w:t>
      </w:r>
      <w:commentRangeStart w:id="20"/>
      <w:r w:rsidRPr="005E43E7">
        <w:t>Eligible Entities for LTCRs include Transmission Customers with qualifying firm SPP transmission service and entities with qualifying firm non-SPP transmission service (commonly referred to as a “grandfathered agreement or GFA”) into, out of, within and through the SPP Region that have identified such qualifying service during the annual LTCR/ARR verification process.</w:t>
      </w:r>
      <w:r>
        <w:t xml:space="preserve"> </w:t>
      </w:r>
      <w:commentRangeEnd w:id="20"/>
      <w:r>
        <w:rPr>
          <w:rStyle w:val="CommentReference"/>
        </w:rPr>
        <w:commentReference w:id="20"/>
      </w:r>
      <w:r>
        <w:rPr>
          <w:szCs w:val="24"/>
        </w:rPr>
        <w:t xml:space="preserve">Entities with firm non-SPP transmission service (GFA) must agree between the parties as to which party is eligible to nominate </w:t>
      </w:r>
      <w:commentRangeStart w:id="21"/>
      <w:r w:rsidRPr="005E43E7">
        <w:t xml:space="preserve">LTCRs and/or </w:t>
      </w:r>
      <w:commentRangeEnd w:id="21"/>
      <w:r>
        <w:rPr>
          <w:rStyle w:val="CommentReference"/>
        </w:rPr>
        <w:commentReference w:id="21"/>
      </w:r>
      <w:r>
        <w:rPr>
          <w:szCs w:val="24"/>
        </w:rPr>
        <w:t xml:space="preserve">ARRs.  Additionally, Eligible Entities may request NITS, GFA NITS, FPTP and/or GFA FPTP Candidate ARRs for firm transmission service confirmed following completion of the annual TCR auction.  </w:t>
      </w:r>
    </w:p>
    <w:p w:rsidR="00936B11" w:rsidRPr="005E43E7" w:rsidRDefault="00936B11" w:rsidP="00936B11">
      <w:pPr>
        <w:spacing w:line="300" w:lineRule="auto"/>
      </w:pPr>
      <w:commentRangeStart w:id="22"/>
      <w:r w:rsidRPr="005E43E7">
        <w:t>Key features of the annual LTCR allocation process include:</w:t>
      </w:r>
    </w:p>
    <w:p w:rsidR="00936B11" w:rsidRPr="005E43E7" w:rsidRDefault="00936B11" w:rsidP="00936B11">
      <w:pPr>
        <w:numPr>
          <w:ilvl w:val="0"/>
          <w:numId w:val="30"/>
        </w:numPr>
        <w:tabs>
          <w:tab w:val="num" w:pos="720"/>
        </w:tabs>
        <w:spacing w:before="120" w:after="120" w:line="300" w:lineRule="auto"/>
        <w:ind w:left="720" w:hanging="547"/>
        <w:jc w:val="both"/>
      </w:pPr>
      <w:r w:rsidRPr="005E43E7">
        <w:t>Eligible Entities are awarded LTCRs that apply to the entire TCR year.  Load Serving Entities (LSEs) are awarded LTCRs prior to consideration of LTCR awards for Eligible Entities that are not LSEs.  Candidate LTCRs are only associated with eligible long-term firm transmission service with rollover rights;</w:t>
      </w:r>
    </w:p>
    <w:p w:rsidR="00936B11" w:rsidRPr="005E43E7" w:rsidRDefault="00936B11" w:rsidP="00936B11">
      <w:pPr>
        <w:numPr>
          <w:ilvl w:val="0"/>
          <w:numId w:val="30"/>
        </w:numPr>
        <w:tabs>
          <w:tab w:val="num" w:pos="720"/>
        </w:tabs>
        <w:spacing w:before="120" w:after="120" w:line="300" w:lineRule="auto"/>
        <w:ind w:left="720" w:hanging="547"/>
        <w:jc w:val="both"/>
      </w:pPr>
      <w:r w:rsidRPr="005E43E7">
        <w:t>All Candidate LTCRs are modeled in order to determine simultaneous feasibility of the Candidate LTCRs.  LTCRs are only awarded up to the selected amount of simultaneously feasible Candidate LTCRs;</w:t>
      </w:r>
    </w:p>
    <w:p w:rsidR="00936B11" w:rsidRPr="005E43E7" w:rsidRDefault="00936B11" w:rsidP="00936B11">
      <w:pPr>
        <w:numPr>
          <w:ilvl w:val="1"/>
          <w:numId w:val="30"/>
        </w:numPr>
        <w:spacing w:before="120" w:after="120" w:line="300" w:lineRule="auto"/>
        <w:ind w:hanging="540"/>
        <w:jc w:val="both"/>
      </w:pPr>
      <w:r w:rsidRPr="005E43E7">
        <w:t>Candidate LTCRs are evaluated for simultaneous feasibility for flows in the prevailing direction only with no simultaneous consideration of LTCR flows in the opposite direction (i.e. counterflow is not considered in the feasibility analysis);</w:t>
      </w:r>
    </w:p>
    <w:p w:rsidR="00936B11" w:rsidRPr="005E43E7" w:rsidRDefault="00936B11" w:rsidP="00936B11">
      <w:pPr>
        <w:pStyle w:val="ListParagraph"/>
        <w:numPr>
          <w:ilvl w:val="1"/>
          <w:numId w:val="30"/>
        </w:numPr>
        <w:spacing w:before="120" w:after="120" w:line="300" w:lineRule="auto"/>
        <w:ind w:hanging="540"/>
        <w:jc w:val="both"/>
      </w:pPr>
      <w:r w:rsidRPr="00450F30">
        <w:rPr>
          <w:rFonts w:ascii="Times New Roman" w:eastAsia="Times New Roman" w:hAnsi="Times New Roman"/>
          <w:sz w:val="24"/>
          <w:szCs w:val="24"/>
        </w:rPr>
        <w:t>50% of the SPP transmission system capability is available for allocation</w:t>
      </w:r>
      <w:r w:rsidRPr="005E43E7">
        <w:rPr>
          <w:szCs w:val="24"/>
        </w:rPr>
        <w:t xml:space="preserve">; </w:t>
      </w:r>
    </w:p>
    <w:p w:rsidR="00936B11" w:rsidRPr="005E43E7" w:rsidRDefault="00936B11" w:rsidP="00936B11">
      <w:pPr>
        <w:numPr>
          <w:ilvl w:val="0"/>
          <w:numId w:val="30"/>
        </w:numPr>
        <w:tabs>
          <w:tab w:val="num" w:pos="720"/>
        </w:tabs>
        <w:spacing w:before="120" w:after="120" w:line="300" w:lineRule="auto"/>
        <w:ind w:left="720" w:hanging="547"/>
        <w:jc w:val="both"/>
      </w:pPr>
      <w:r w:rsidRPr="005E43E7">
        <w:t>Awarded LTCRs are of the obligation type which means that the TCRs associated with the awarded LTCR could result in a payment or charge to the TCR holder in the Day-Ahead Market settlement of TCRs;</w:t>
      </w:r>
    </w:p>
    <w:p w:rsidR="00936B11" w:rsidRPr="005E43E7" w:rsidRDefault="00936B11" w:rsidP="00936B11">
      <w:pPr>
        <w:numPr>
          <w:ilvl w:val="1"/>
          <w:numId w:val="30"/>
        </w:numPr>
        <w:spacing w:before="120" w:after="120" w:line="300" w:lineRule="auto"/>
        <w:ind w:hanging="540"/>
        <w:jc w:val="both"/>
      </w:pPr>
      <w:r w:rsidRPr="005E43E7">
        <w:t>Once awarded, the awarded LTCRs are guaranteed in subsequent years as long as the associated long-term firm SPP transmission service reservation remains in effect;</w:t>
      </w:r>
    </w:p>
    <w:p w:rsidR="00936B11" w:rsidRPr="005E43E7" w:rsidRDefault="00936B11" w:rsidP="00936B11">
      <w:pPr>
        <w:numPr>
          <w:ilvl w:val="1"/>
          <w:numId w:val="30"/>
        </w:numPr>
        <w:spacing w:before="120" w:after="120" w:line="300" w:lineRule="auto"/>
        <w:ind w:hanging="540"/>
        <w:jc w:val="both"/>
      </w:pPr>
      <w:r w:rsidRPr="005E43E7">
        <w:t>Awarded LTCRs may be surrendered in subsequent years at the Market Participant's request;</w:t>
      </w:r>
    </w:p>
    <w:p w:rsidR="00936B11" w:rsidRDefault="00936B11" w:rsidP="00936B11">
      <w:pPr>
        <w:pStyle w:val="ParaText"/>
        <w:ind w:left="720" w:hanging="540"/>
        <w:rPr>
          <w:szCs w:val="24"/>
        </w:rPr>
      </w:pPr>
      <w:r w:rsidRPr="005E43E7">
        <w:lastRenderedPageBreak/>
        <w:t xml:space="preserve">(4) </w:t>
      </w:r>
      <w:r w:rsidRPr="005E43E7">
        <w:tab/>
        <w:t xml:space="preserve">Awarded LTCRs are </w:t>
      </w:r>
      <w:del w:id="23" w:author="Micha Bailey" w:date="2014-03-12T14:11:00Z">
        <w:r w:rsidRPr="005E43E7" w:rsidDel="0006281B">
          <w:delText>initially ARRs which will automatically be self-</w:delText>
        </w:r>
      </w:del>
      <w:ins w:id="24" w:author="Micha Bailey" w:date="2014-03-12T14:11:00Z">
        <w:r w:rsidR="0006281B">
          <w:t xml:space="preserve">directly </w:t>
        </w:r>
      </w:ins>
      <w:r w:rsidRPr="005E43E7">
        <w:t>converted to TCRs</w:t>
      </w:r>
      <w:ins w:id="25" w:author="Micha Bailey" w:date="2014-03-12T14:12:00Z">
        <w:r w:rsidR="0006281B">
          <w:t xml:space="preserve"> prior to the annual ARR allocation for the current allocation year.</w:t>
        </w:r>
      </w:ins>
      <w:del w:id="26" w:author="Micha Bailey" w:date="2014-03-12T14:12:00Z">
        <w:r w:rsidRPr="005E43E7" w:rsidDel="0006281B">
          <w:delText xml:space="preserve"> in the annual ARR allocation process.</w:delText>
        </w:r>
      </w:del>
      <w:commentRangeEnd w:id="22"/>
      <w:r>
        <w:rPr>
          <w:rStyle w:val="CommentReference"/>
        </w:rPr>
        <w:commentReference w:id="22"/>
      </w:r>
    </w:p>
    <w:p w:rsidR="00936B11" w:rsidRDefault="00936B11" w:rsidP="00936B11">
      <w:pPr>
        <w:pStyle w:val="ParaText"/>
        <w:rPr>
          <w:szCs w:val="24"/>
        </w:rPr>
      </w:pPr>
      <w:r>
        <w:rPr>
          <w:szCs w:val="24"/>
        </w:rPr>
        <w:t>Key features of the annual ARR allocation process include:</w:t>
      </w:r>
    </w:p>
    <w:p w:rsidR="00936B11" w:rsidRDefault="00936B11" w:rsidP="00936B11">
      <w:pPr>
        <w:pStyle w:val="ParaText"/>
        <w:numPr>
          <w:ilvl w:val="0"/>
          <w:numId w:val="35"/>
        </w:numPr>
        <w:tabs>
          <w:tab w:val="clear" w:pos="1440"/>
          <w:tab w:val="num" w:pos="720"/>
        </w:tabs>
        <w:spacing w:before="120"/>
        <w:ind w:left="720" w:hanging="540"/>
        <w:rPr>
          <w:szCs w:val="24"/>
        </w:rPr>
      </w:pPr>
      <w:r>
        <w:rPr>
          <w:szCs w:val="24"/>
        </w:rPr>
        <w:t>Eligible Entities nominate candidate ARRs separately for On-Peak and Off-Peak periods each month and season of the annual period in a three-round process;</w:t>
      </w:r>
    </w:p>
    <w:p w:rsidR="00936B11" w:rsidRDefault="00936B11" w:rsidP="00936B11">
      <w:pPr>
        <w:pStyle w:val="ParaText"/>
        <w:numPr>
          <w:ilvl w:val="0"/>
          <w:numId w:val="35"/>
        </w:numPr>
        <w:spacing w:before="120"/>
        <w:ind w:left="720" w:hanging="547"/>
        <w:rPr>
          <w:szCs w:val="24"/>
        </w:rPr>
      </w:pPr>
      <w:r>
        <w:rPr>
          <w:szCs w:val="24"/>
        </w:rPr>
        <w:t xml:space="preserve">Nominated </w:t>
      </w:r>
      <w:r w:rsidRPr="00F50938">
        <w:rPr>
          <w:szCs w:val="24"/>
        </w:rPr>
        <w:t>candidate ARRs are awarded up to the amount that is simultaneously feasible</w:t>
      </w:r>
      <w:r>
        <w:rPr>
          <w:szCs w:val="24"/>
        </w:rPr>
        <w:t>;</w:t>
      </w:r>
    </w:p>
    <w:p w:rsidR="00936B11" w:rsidRDefault="00936B11" w:rsidP="00936B11">
      <w:pPr>
        <w:pStyle w:val="ParaText"/>
        <w:numPr>
          <w:ilvl w:val="0"/>
          <w:numId w:val="35"/>
        </w:numPr>
        <w:spacing w:before="120"/>
        <w:ind w:left="720" w:hanging="540"/>
        <w:rPr>
          <w:szCs w:val="24"/>
        </w:rPr>
      </w:pPr>
      <w:r>
        <w:rPr>
          <w:szCs w:val="24"/>
        </w:rPr>
        <w:t>100% of the SPP transmission system capability is available for allocation;</w:t>
      </w:r>
      <w:commentRangeStart w:id="27"/>
    </w:p>
    <w:p w:rsidR="00936B11" w:rsidRDefault="00936B11" w:rsidP="00936B11">
      <w:pPr>
        <w:pStyle w:val="ParaText"/>
        <w:numPr>
          <w:ilvl w:val="1"/>
          <w:numId w:val="35"/>
        </w:numPr>
        <w:spacing w:before="120"/>
        <w:rPr>
          <w:szCs w:val="24"/>
        </w:rPr>
      </w:pPr>
      <w:r>
        <w:rPr>
          <w:szCs w:val="24"/>
        </w:rPr>
        <w:t xml:space="preserve">All </w:t>
      </w:r>
      <w:r w:rsidRPr="005E43E7">
        <w:t xml:space="preserve">awarded LTCRs </w:t>
      </w:r>
      <w:ins w:id="28" w:author="Micha Bailey" w:date="2014-03-12T14:12:00Z">
        <w:r w:rsidR="0006281B">
          <w:t xml:space="preserve">are directly converted to TCRs and </w:t>
        </w:r>
      </w:ins>
      <w:r w:rsidRPr="005E43E7">
        <w:t>are accounted for prior to assessing nominated ARR feasibility;</w:t>
      </w:r>
    </w:p>
    <w:p w:rsidR="00936B11" w:rsidRPr="008F0261" w:rsidRDefault="00936B11" w:rsidP="00936B11">
      <w:pPr>
        <w:pStyle w:val="ParaText"/>
        <w:numPr>
          <w:ilvl w:val="1"/>
          <w:numId w:val="35"/>
        </w:numPr>
        <w:spacing w:before="120"/>
        <w:rPr>
          <w:szCs w:val="24"/>
        </w:rPr>
      </w:pPr>
      <w:r>
        <w:rPr>
          <w:szCs w:val="24"/>
        </w:rPr>
        <w:t xml:space="preserve">Awarded </w:t>
      </w:r>
      <w:r w:rsidRPr="005E43E7">
        <w:t xml:space="preserve">ARRs are of the obligation type which means that the awarded ARR could result in a payment or charge to the ARR holder.  </w:t>
      </w:r>
      <w:del w:id="29" w:author="Micha Bailey" w:date="2014-03-12T14:12:00Z">
        <w:r w:rsidRPr="005E43E7" w:rsidDel="0006281B">
          <w:delText>Awarded LTCRs are converted to ARRs and included in the total ARR awards for settlement purposes</w:delText>
        </w:r>
        <w:r w:rsidDel="0006281B">
          <w:delText>;</w:delText>
        </w:r>
      </w:del>
      <w:commentRangeEnd w:id="27"/>
      <w:r>
        <w:rPr>
          <w:rStyle w:val="CommentReference"/>
        </w:rPr>
        <w:commentReference w:id="27"/>
      </w:r>
    </w:p>
    <w:p w:rsidR="00936B11" w:rsidRDefault="00936B11" w:rsidP="00936B11">
      <w:pPr>
        <w:pStyle w:val="ParaText"/>
        <w:numPr>
          <w:ilvl w:val="0"/>
          <w:numId w:val="35"/>
        </w:numPr>
        <w:spacing w:before="120"/>
        <w:ind w:left="720" w:hanging="547"/>
        <w:rPr>
          <w:szCs w:val="24"/>
        </w:rPr>
      </w:pPr>
      <w:r w:rsidRPr="005B4356">
        <w:rPr>
          <w:szCs w:val="24"/>
        </w:rPr>
        <w:t>Holders of ARR</w:t>
      </w:r>
      <w:r>
        <w:rPr>
          <w:szCs w:val="24"/>
        </w:rPr>
        <w:t>s</w:t>
      </w:r>
      <w:r w:rsidRPr="005B4356">
        <w:rPr>
          <w:szCs w:val="24"/>
        </w:rPr>
        <w:t xml:space="preserve"> receive positive or negative revenue resulting from the annual and monthly TCR auctions, including those ARRs that were self-converted</w:t>
      </w:r>
      <w:r>
        <w:rPr>
          <w:szCs w:val="24"/>
        </w:rPr>
        <w:t xml:space="preserve"> to TCRs</w:t>
      </w:r>
      <w:r w:rsidRPr="005B4356">
        <w:rPr>
          <w:szCs w:val="24"/>
        </w:rPr>
        <w:t xml:space="preserve">.  </w:t>
      </w:r>
      <w:commentRangeStart w:id="30"/>
      <w:r w:rsidRPr="005E43E7">
        <w:t xml:space="preserve">  </w:t>
      </w:r>
      <w:del w:id="31" w:author="Micha Bailey" w:date="2014-03-12T14:13:00Z">
        <w:r w:rsidRPr="005E43E7" w:rsidDel="0006281B">
          <w:delText>ARRs associated with LTCRs are automatically self-converted into TCRs for settlement purposes.</w:delText>
        </w:r>
        <w:r w:rsidDel="0006281B">
          <w:delText xml:space="preserve"> </w:delText>
        </w:r>
      </w:del>
      <w:commentRangeEnd w:id="30"/>
      <w:r>
        <w:rPr>
          <w:rStyle w:val="CommentReference"/>
        </w:rPr>
        <w:commentReference w:id="30"/>
      </w:r>
      <w:r w:rsidRPr="005B4356">
        <w:rPr>
          <w:szCs w:val="24"/>
        </w:rPr>
        <w:t>Positive auction revenue results when th</w:t>
      </w:r>
      <w:r>
        <w:rPr>
          <w:szCs w:val="24"/>
        </w:rPr>
        <w:t>e sink Auction Clearing Price (ACP</w:t>
      </w:r>
      <w:r w:rsidRPr="005B4356">
        <w:rPr>
          <w:szCs w:val="24"/>
        </w:rPr>
        <w:t>) is greater than the source ACP for a given ARR.  Negative revenue results when the sink ACP is less than the source ACP, in other words, a counterflow ARR</w:t>
      </w:r>
      <w:r w:rsidRPr="008F0261">
        <w:rPr>
          <w:szCs w:val="24"/>
        </w:rPr>
        <w:t xml:space="preserve">. </w:t>
      </w:r>
    </w:p>
    <w:p w:rsidR="00936B11" w:rsidRDefault="00936B11" w:rsidP="00936B11">
      <w:pPr>
        <w:pStyle w:val="ParaText"/>
        <w:numPr>
          <w:ilvl w:val="0"/>
          <w:numId w:val="32"/>
        </w:numPr>
        <w:spacing w:before="120"/>
        <w:ind w:hanging="540"/>
        <w:rPr>
          <w:szCs w:val="24"/>
        </w:rPr>
      </w:pPr>
      <w:r>
        <w:rPr>
          <w:szCs w:val="24"/>
        </w:rPr>
        <w:t xml:space="preserve">For the annual TCR auction, the amount of ARRs eligible to receive auction revenues is equal to the greater of </w:t>
      </w:r>
      <w:commentRangeStart w:id="32"/>
      <w:r w:rsidRPr="005E43E7">
        <w:t xml:space="preserve">ARRs </w:t>
      </w:r>
      <w:commentRangeEnd w:id="32"/>
      <w:r>
        <w:rPr>
          <w:rStyle w:val="CommentReference"/>
        </w:rPr>
        <w:commentReference w:id="32"/>
      </w:r>
      <w:r>
        <w:rPr>
          <w:szCs w:val="24"/>
        </w:rPr>
        <w:t xml:space="preserve">self-converted </w:t>
      </w:r>
      <w:commentRangeStart w:id="33"/>
      <w:r w:rsidRPr="005E43E7">
        <w:t xml:space="preserve">to </w:t>
      </w:r>
      <w:commentRangeEnd w:id="33"/>
      <w:r>
        <w:rPr>
          <w:rStyle w:val="CommentReference"/>
        </w:rPr>
        <w:commentReference w:id="33"/>
      </w:r>
      <w:r>
        <w:rPr>
          <w:szCs w:val="24"/>
        </w:rPr>
        <w:t xml:space="preserve">TCRs or the amount of ARRs awarded multiplied by the following percentages:  June – 100%; July through September, 90%; and </w:t>
      </w:r>
      <w:proofErr w:type="gramStart"/>
      <w:r>
        <w:rPr>
          <w:szCs w:val="24"/>
        </w:rPr>
        <w:t>Fall</w:t>
      </w:r>
      <w:proofErr w:type="gramEnd"/>
      <w:r>
        <w:rPr>
          <w:szCs w:val="24"/>
        </w:rPr>
        <w:t>, Winter, Spring – 60%.</w:t>
      </w:r>
    </w:p>
    <w:p w:rsidR="00936B11" w:rsidRDefault="00936B11" w:rsidP="00936B11">
      <w:pPr>
        <w:pStyle w:val="ParaText"/>
        <w:numPr>
          <w:ilvl w:val="0"/>
          <w:numId w:val="32"/>
        </w:numPr>
        <w:spacing w:before="120"/>
        <w:ind w:hanging="540"/>
        <w:rPr>
          <w:szCs w:val="24"/>
        </w:rPr>
      </w:pPr>
      <w:r>
        <w:rPr>
          <w:szCs w:val="24"/>
        </w:rPr>
        <w:t xml:space="preserve">For the monthly TCR auction for the months of July through September, the amount of ARRs eligible to receive auction revenues is equal to the amount of ARRs awarded in the </w:t>
      </w:r>
      <w:commentRangeStart w:id="34"/>
      <w:proofErr w:type="spellStart"/>
      <w:r w:rsidRPr="005E43E7">
        <w:t>monthly</w:t>
      </w:r>
      <w:commentRangeEnd w:id="34"/>
      <w:r>
        <w:rPr>
          <w:rStyle w:val="CommentReference"/>
        </w:rPr>
        <w:commentReference w:id="34"/>
      </w:r>
      <w:r>
        <w:rPr>
          <w:szCs w:val="24"/>
        </w:rPr>
        <w:t>ARR</w:t>
      </w:r>
      <w:proofErr w:type="spellEnd"/>
      <w:r>
        <w:rPr>
          <w:szCs w:val="24"/>
        </w:rPr>
        <w:t xml:space="preserve"> allocation process plus: the lesser of (i) 10% of the annual ARR award or (ii) the difference between the annual ARR award and the amount of self-converted TCRs in the annual TCR auction;</w:t>
      </w:r>
    </w:p>
    <w:p w:rsidR="00936B11" w:rsidRDefault="00936B11" w:rsidP="00936B11">
      <w:pPr>
        <w:pStyle w:val="ParaText"/>
        <w:numPr>
          <w:ilvl w:val="0"/>
          <w:numId w:val="32"/>
        </w:numPr>
        <w:spacing w:before="120"/>
        <w:ind w:hanging="540"/>
        <w:rPr>
          <w:szCs w:val="24"/>
        </w:rPr>
      </w:pPr>
      <w:r>
        <w:rPr>
          <w:szCs w:val="24"/>
        </w:rPr>
        <w:t xml:space="preserve">For the monthly TCR auction for the months of October through May, the amount of ARRs eligible to receive auction revenues is equal to the amount of ARRs awarded in the </w:t>
      </w:r>
      <w:commentRangeStart w:id="35"/>
      <w:r w:rsidRPr="005E43E7">
        <w:t xml:space="preserve">monthly </w:t>
      </w:r>
      <w:commentRangeEnd w:id="35"/>
      <w:r>
        <w:rPr>
          <w:rStyle w:val="CommentReference"/>
        </w:rPr>
        <w:commentReference w:id="35"/>
      </w:r>
      <w:r>
        <w:rPr>
          <w:szCs w:val="24"/>
        </w:rPr>
        <w:t xml:space="preserve">ARR allocation process plus: the lesser of (i) 40% of the </w:t>
      </w:r>
      <w:r>
        <w:rPr>
          <w:szCs w:val="24"/>
        </w:rPr>
        <w:lastRenderedPageBreak/>
        <w:t>annual ARR award or (ii) the difference between the annual ARR award and the amount of self-converted TCRs in the annual TCR auction.</w:t>
      </w:r>
    </w:p>
    <w:p w:rsidR="00936B11" w:rsidRDefault="00936B11" w:rsidP="00936B11">
      <w:pPr>
        <w:pStyle w:val="ParaText"/>
        <w:rPr>
          <w:szCs w:val="24"/>
        </w:rPr>
      </w:pPr>
      <w:r w:rsidRPr="008F0261">
        <w:rPr>
          <w:szCs w:val="24"/>
        </w:rPr>
        <w:t>Key features of the</w:t>
      </w:r>
      <w:r>
        <w:rPr>
          <w:szCs w:val="24"/>
        </w:rPr>
        <w:t xml:space="preserve"> annual TCR auction include:</w:t>
      </w:r>
    </w:p>
    <w:p w:rsidR="00936B11" w:rsidRDefault="00936B11" w:rsidP="00936B11">
      <w:pPr>
        <w:pStyle w:val="ParaText"/>
        <w:numPr>
          <w:ilvl w:val="0"/>
          <w:numId w:val="31"/>
        </w:numPr>
        <w:tabs>
          <w:tab w:val="num" w:pos="720"/>
        </w:tabs>
        <w:spacing w:before="120"/>
        <w:ind w:hanging="547"/>
        <w:rPr>
          <w:szCs w:val="24"/>
        </w:rPr>
      </w:pPr>
      <w:r>
        <w:rPr>
          <w:szCs w:val="24"/>
        </w:rPr>
        <w:t xml:space="preserve">Any Market Participant that meets the applicable credit requirements may submit TCR Bids to purchase </w:t>
      </w:r>
      <w:commentRangeStart w:id="36"/>
      <w:r w:rsidRPr="005E43E7">
        <w:t xml:space="preserve">and/or TCR Offers to sell </w:t>
      </w:r>
      <w:commentRangeEnd w:id="36"/>
      <w:r>
        <w:rPr>
          <w:rStyle w:val="CommentReference"/>
        </w:rPr>
        <w:commentReference w:id="36"/>
      </w:r>
      <w:r>
        <w:rPr>
          <w:szCs w:val="24"/>
        </w:rPr>
        <w:t>separately for On-Peak and Off-Peak periods in the annual TCR auction for each month</w:t>
      </w:r>
      <w:commentRangeStart w:id="37"/>
      <w:r w:rsidRPr="005E43E7">
        <w:t xml:space="preserve"> and season</w:t>
      </w:r>
      <w:commentRangeEnd w:id="37"/>
      <w:r>
        <w:rPr>
          <w:rStyle w:val="CommentReference"/>
        </w:rPr>
        <w:commentReference w:id="37"/>
      </w:r>
      <w:r>
        <w:rPr>
          <w:szCs w:val="24"/>
        </w:rPr>
        <w:t xml:space="preserve"> in the annual period;</w:t>
      </w:r>
      <w:commentRangeStart w:id="38"/>
    </w:p>
    <w:p w:rsidR="00936B11" w:rsidRDefault="00936B11" w:rsidP="00936B11">
      <w:pPr>
        <w:pStyle w:val="ParaText"/>
        <w:numPr>
          <w:ilvl w:val="1"/>
          <w:numId w:val="31"/>
        </w:numPr>
        <w:spacing w:before="120"/>
        <w:ind w:left="1800"/>
        <w:rPr>
          <w:szCs w:val="24"/>
        </w:rPr>
      </w:pPr>
      <w:del w:id="39" w:author="Micha Bailey" w:date="2014-03-12T14:14:00Z">
        <w:r w:rsidRPr="005E43E7" w:rsidDel="0006281B">
          <w:delText xml:space="preserve">ARRs resulting from LTCRs are automatically self-converted into TCRs prior to auction clearing and are modeled as fixed injections/withdrawals.  These </w:delText>
        </w:r>
      </w:del>
      <w:r w:rsidRPr="005E43E7">
        <w:t>TCRs</w:t>
      </w:r>
      <w:ins w:id="40" w:author="Micha Bailey" w:date="2014-03-12T14:14:00Z">
        <w:r w:rsidR="0006281B">
          <w:t xml:space="preserve"> directly converted</w:t>
        </w:r>
        <w:r w:rsidR="0006281B" w:rsidRPr="0006281B">
          <w:t xml:space="preserve"> </w:t>
        </w:r>
        <w:r w:rsidR="0006281B">
          <w:t>from LTCRs</w:t>
        </w:r>
      </w:ins>
      <w:r w:rsidRPr="005E43E7">
        <w:t xml:space="preserve"> may be offered for sale in the annual or monthly TCR auction process</w:t>
      </w:r>
      <w:r>
        <w:t>;</w:t>
      </w:r>
      <w:commentRangeEnd w:id="38"/>
      <w:r>
        <w:rPr>
          <w:rStyle w:val="CommentReference"/>
        </w:rPr>
        <w:commentReference w:id="38"/>
      </w:r>
    </w:p>
    <w:p w:rsidR="00936B11" w:rsidRDefault="00936B11" w:rsidP="00936B11">
      <w:pPr>
        <w:pStyle w:val="ParaText"/>
        <w:numPr>
          <w:ilvl w:val="0"/>
          <w:numId w:val="31"/>
        </w:numPr>
        <w:tabs>
          <w:tab w:val="num" w:pos="720"/>
        </w:tabs>
        <w:spacing w:before="120"/>
        <w:ind w:hanging="547"/>
        <w:rPr>
          <w:szCs w:val="24"/>
        </w:rPr>
      </w:pPr>
      <w:r>
        <w:rPr>
          <w:szCs w:val="24"/>
        </w:rPr>
        <w:t>TCRs are of the obligation type which means that the awarded TCR could result in a payment or charge to the TCR holder</w:t>
      </w:r>
      <w:r w:rsidRPr="005D7118">
        <w:rPr>
          <w:szCs w:val="24"/>
        </w:rPr>
        <w:t xml:space="preserve"> </w:t>
      </w:r>
      <w:r>
        <w:rPr>
          <w:szCs w:val="24"/>
        </w:rPr>
        <w:t>in the DA Market settlement;</w:t>
      </w:r>
    </w:p>
    <w:p w:rsidR="00936B11" w:rsidRDefault="00936B11" w:rsidP="00936B11">
      <w:pPr>
        <w:pStyle w:val="ParaText"/>
        <w:numPr>
          <w:ilvl w:val="0"/>
          <w:numId w:val="31"/>
        </w:numPr>
        <w:tabs>
          <w:tab w:val="num" w:pos="720"/>
        </w:tabs>
        <w:spacing w:before="120"/>
        <w:ind w:hanging="547"/>
        <w:rPr>
          <w:szCs w:val="24"/>
        </w:rPr>
      </w:pPr>
      <w:r>
        <w:rPr>
          <w:szCs w:val="24"/>
        </w:rPr>
        <w:t xml:space="preserve">The annual TCR auction is a single </w:t>
      </w:r>
      <w:ins w:id="41" w:author="Micha Bailey" w:date="2014-03-12T14:14:00Z">
        <w:r w:rsidR="0006281B">
          <w:t xml:space="preserve">round </w:t>
        </w:r>
      </w:ins>
      <w:r>
        <w:rPr>
          <w:szCs w:val="24"/>
        </w:rPr>
        <w:t>process for the month of June that makes 100% of the available SPP transmission system capability available, is a single round process for the months of July, August and September that makes 90% of the available SPP transmission system capability available and is a single round process for the Fall, Winter and Spring seasons that makes 60% of the available SPP transmission system capability available;</w:t>
      </w:r>
    </w:p>
    <w:p w:rsidR="00936B11" w:rsidRDefault="00936B11" w:rsidP="00936B11">
      <w:pPr>
        <w:pStyle w:val="ParaText"/>
        <w:numPr>
          <w:ilvl w:val="0"/>
          <w:numId w:val="31"/>
        </w:numPr>
        <w:tabs>
          <w:tab w:val="num" w:pos="720"/>
        </w:tabs>
        <w:spacing w:before="120"/>
        <w:ind w:hanging="547"/>
        <w:rPr>
          <w:szCs w:val="24"/>
        </w:rPr>
      </w:pPr>
      <w:r>
        <w:rPr>
          <w:szCs w:val="24"/>
        </w:rPr>
        <w:t xml:space="preserve">Market Participants who have TCR bids cleared in the annual TCR auction will be charged (or get paid in the case of a counter-flow TCR) based on the amount of TCR MWs cleared and the annual TCR auction clearing prices associated with the source and sink of the </w:t>
      </w:r>
      <w:commentRangeStart w:id="42"/>
      <w:r w:rsidRPr="005E43E7">
        <w:t xml:space="preserve">purchased </w:t>
      </w:r>
      <w:commentRangeEnd w:id="42"/>
      <w:r>
        <w:rPr>
          <w:rStyle w:val="CommentReference"/>
        </w:rPr>
        <w:commentReference w:id="42"/>
      </w:r>
      <w:r>
        <w:rPr>
          <w:szCs w:val="24"/>
        </w:rPr>
        <w:t xml:space="preserve">TCR; </w:t>
      </w:r>
      <w:commentRangeStart w:id="43"/>
    </w:p>
    <w:p w:rsidR="00936B11" w:rsidRDefault="00936B11" w:rsidP="00936B11">
      <w:pPr>
        <w:pStyle w:val="ParaText"/>
        <w:numPr>
          <w:ilvl w:val="0"/>
          <w:numId w:val="31"/>
        </w:numPr>
        <w:tabs>
          <w:tab w:val="num" w:pos="720"/>
        </w:tabs>
        <w:spacing w:before="120"/>
        <w:ind w:hanging="547"/>
        <w:rPr>
          <w:szCs w:val="24"/>
        </w:rPr>
      </w:pPr>
      <w:r w:rsidRPr="005E43E7">
        <w:t>Market Participants who have TCR offers cleared in the annual TCR auction will be paid (or get charged in the case of a counter-flow TCR) based on the amount of TCR MWs cleared and the annual TCR auction clearing prices associated with the source and sink of the TCR sold</w:t>
      </w:r>
      <w:r>
        <w:t>;</w:t>
      </w:r>
      <w:r>
        <w:rPr>
          <w:szCs w:val="24"/>
        </w:rPr>
        <w:t xml:space="preserve"> </w:t>
      </w:r>
      <w:commentRangeEnd w:id="43"/>
      <w:r>
        <w:rPr>
          <w:rStyle w:val="CommentReference"/>
        </w:rPr>
        <w:commentReference w:id="43"/>
      </w:r>
    </w:p>
    <w:p w:rsidR="00936B11" w:rsidRDefault="00936B11" w:rsidP="00936B11">
      <w:pPr>
        <w:pStyle w:val="ParaText"/>
        <w:numPr>
          <w:ilvl w:val="0"/>
          <w:numId w:val="31"/>
        </w:numPr>
        <w:tabs>
          <w:tab w:val="num" w:pos="720"/>
        </w:tabs>
        <w:spacing w:before="120"/>
        <w:ind w:hanging="547"/>
        <w:rPr>
          <w:szCs w:val="24"/>
        </w:rPr>
      </w:pPr>
      <w:r w:rsidRPr="00D42FC6">
        <w:rPr>
          <w:szCs w:val="24"/>
        </w:rPr>
        <w:t xml:space="preserve">Market Participants holding ARRs </w:t>
      </w:r>
      <w:commentRangeStart w:id="44"/>
      <w:del w:id="45" w:author="Micha Bailey" w:date="2014-03-12T14:14:00Z">
        <w:r w:rsidRPr="005E43E7" w:rsidDel="0006281B">
          <w:delText>not associated with LTCRs</w:delText>
        </w:r>
        <w:r w:rsidRPr="00D42FC6" w:rsidDel="0006281B">
          <w:rPr>
            <w:szCs w:val="24"/>
          </w:rPr>
          <w:delText xml:space="preserve"> </w:delText>
        </w:r>
      </w:del>
      <w:commentRangeEnd w:id="44"/>
      <w:r>
        <w:rPr>
          <w:rStyle w:val="CommentReference"/>
        </w:rPr>
        <w:commentReference w:id="44"/>
      </w:r>
      <w:r w:rsidRPr="00D42FC6">
        <w:rPr>
          <w:szCs w:val="24"/>
        </w:rPr>
        <w:t xml:space="preserve">may self-convert their ARRs into TCRs for the applicable period subject to </w:t>
      </w:r>
      <w:r>
        <w:rPr>
          <w:szCs w:val="24"/>
        </w:rPr>
        <w:t>simultaneous feasibility.</w:t>
      </w:r>
      <w:commentRangeStart w:id="46"/>
      <w:r w:rsidRPr="005E43E7">
        <w:t xml:space="preserve">  TCRs from self-converted ARRs</w:t>
      </w:r>
      <w:del w:id="47" w:author="Micha Bailey" w:date="2014-03-12T14:14:00Z">
        <w:r w:rsidRPr="005E43E7" w:rsidDel="0006281B">
          <w:delText>, including TCRs s</w:delText>
        </w:r>
      </w:del>
      <w:del w:id="48" w:author="Micha Bailey" w:date="2014-03-12T14:15:00Z">
        <w:r w:rsidRPr="005E43E7" w:rsidDel="0006281B">
          <w:delText>elf-converted from ARRs associated with LTCRs,</w:delText>
        </w:r>
      </w:del>
      <w:r w:rsidRPr="005E43E7">
        <w:t xml:space="preserve"> are included as awarded TCRs.</w:t>
      </w:r>
      <w:commentRangeEnd w:id="46"/>
      <w:r>
        <w:rPr>
          <w:rStyle w:val="CommentReference"/>
        </w:rPr>
        <w:commentReference w:id="46"/>
      </w:r>
    </w:p>
    <w:p w:rsidR="00936B11" w:rsidRDefault="00936B11" w:rsidP="00936B11">
      <w:pPr>
        <w:pStyle w:val="ParaText"/>
        <w:rPr>
          <w:szCs w:val="24"/>
        </w:rPr>
      </w:pPr>
      <w:bookmarkStart w:id="49" w:name="OLE_LINK247"/>
      <w:bookmarkStart w:id="50" w:name="OLE_LINK248"/>
      <w:r>
        <w:rPr>
          <w:szCs w:val="24"/>
        </w:rPr>
        <w:t xml:space="preserve">Key features of the </w:t>
      </w:r>
      <w:proofErr w:type="gramStart"/>
      <w:r>
        <w:rPr>
          <w:szCs w:val="24"/>
        </w:rPr>
        <w:t>monthly  ARR</w:t>
      </w:r>
      <w:proofErr w:type="gramEnd"/>
      <w:r>
        <w:rPr>
          <w:szCs w:val="24"/>
        </w:rPr>
        <w:t xml:space="preserve"> allocation include:</w:t>
      </w:r>
    </w:p>
    <w:bookmarkEnd w:id="49"/>
    <w:bookmarkEnd w:id="50"/>
    <w:p w:rsidR="00936B11" w:rsidRDefault="00936B11" w:rsidP="00936B11">
      <w:pPr>
        <w:pStyle w:val="ParaText"/>
        <w:numPr>
          <w:ilvl w:val="0"/>
          <w:numId w:val="33"/>
        </w:numPr>
        <w:spacing w:before="120"/>
        <w:ind w:left="720" w:hanging="547"/>
        <w:rPr>
          <w:szCs w:val="24"/>
        </w:rPr>
      </w:pPr>
      <w:r>
        <w:rPr>
          <w:szCs w:val="24"/>
        </w:rPr>
        <w:lastRenderedPageBreak/>
        <w:t>SPP verifies</w:t>
      </w:r>
      <w:commentRangeStart w:id="51"/>
      <w:r w:rsidRPr="00E42C3E">
        <w:t xml:space="preserve"> </w:t>
      </w:r>
      <w:r w:rsidRPr="005E43E7">
        <w:t>new firm transmission service reservations</w:t>
      </w:r>
      <w:r>
        <w:rPr>
          <w:szCs w:val="24"/>
        </w:rPr>
        <w:t xml:space="preserve"> </w:t>
      </w:r>
      <w:commentRangeEnd w:id="51"/>
      <w:r>
        <w:rPr>
          <w:rStyle w:val="CommentReference"/>
        </w:rPr>
        <w:commentReference w:id="51"/>
      </w:r>
      <w:r>
        <w:rPr>
          <w:szCs w:val="24"/>
        </w:rPr>
        <w:t xml:space="preserve">and performs a monthly ARR allocation process beginning five days prior to the applicable monthly TCR auction process.  </w:t>
      </w:r>
    </w:p>
    <w:p w:rsidR="00936B11" w:rsidRDefault="00936B11" w:rsidP="00936B11">
      <w:pPr>
        <w:pStyle w:val="ParaText"/>
        <w:numPr>
          <w:ilvl w:val="1"/>
          <w:numId w:val="33"/>
        </w:numPr>
        <w:spacing w:before="120"/>
        <w:ind w:hanging="540"/>
        <w:rPr>
          <w:szCs w:val="24"/>
        </w:rPr>
      </w:pPr>
      <w:r>
        <w:rPr>
          <w:szCs w:val="24"/>
        </w:rPr>
        <w:t>Eligible Entities may nominate candidate ARRs from their verified NITS Candidate ARRs not to exceed the difference between their NITS ARR Nomination Cap and those ARRs awarded</w:t>
      </w:r>
      <w:commentRangeStart w:id="52"/>
      <w:r w:rsidRPr="005E43E7">
        <w:t xml:space="preserve"> in th</w:t>
      </w:r>
      <w:r>
        <w:t>e annual ARR allocation process</w:t>
      </w:r>
      <w:commentRangeEnd w:id="52"/>
      <w:r>
        <w:rPr>
          <w:rStyle w:val="CommentReference"/>
        </w:rPr>
        <w:commentReference w:id="52"/>
      </w:r>
      <w:r>
        <w:rPr>
          <w:szCs w:val="24"/>
        </w:rPr>
        <w:t>;</w:t>
      </w:r>
    </w:p>
    <w:p w:rsidR="00936B11" w:rsidRDefault="00936B11" w:rsidP="00936B11">
      <w:pPr>
        <w:pStyle w:val="ParaText"/>
        <w:numPr>
          <w:ilvl w:val="1"/>
          <w:numId w:val="33"/>
        </w:numPr>
        <w:spacing w:before="120"/>
        <w:ind w:hanging="540"/>
        <w:rPr>
          <w:szCs w:val="24"/>
        </w:rPr>
      </w:pPr>
      <w:r>
        <w:rPr>
          <w:szCs w:val="24"/>
        </w:rPr>
        <w:t xml:space="preserve">Eligible Entities may nominate candidate ARRs from their verified FPTP Candidate ARRs not to exceed the difference between their FPTP Nomination Cap and those ARRs awarded </w:t>
      </w:r>
      <w:commentRangeStart w:id="53"/>
      <w:r w:rsidRPr="005E43E7">
        <w:t>in the annual ARR allocation processes</w:t>
      </w:r>
      <w:commentRangeEnd w:id="53"/>
      <w:r>
        <w:rPr>
          <w:rStyle w:val="CommentReference"/>
        </w:rPr>
        <w:commentReference w:id="53"/>
      </w:r>
      <w:r>
        <w:rPr>
          <w:szCs w:val="24"/>
        </w:rPr>
        <w:t>;</w:t>
      </w:r>
    </w:p>
    <w:p w:rsidR="00936B11" w:rsidRDefault="00936B11" w:rsidP="00936B11">
      <w:pPr>
        <w:pStyle w:val="ParaText"/>
        <w:numPr>
          <w:ilvl w:val="1"/>
          <w:numId w:val="33"/>
        </w:numPr>
        <w:spacing w:before="120"/>
        <w:ind w:hanging="540"/>
        <w:rPr>
          <w:szCs w:val="24"/>
        </w:rPr>
      </w:pPr>
      <w:r>
        <w:rPr>
          <w:szCs w:val="24"/>
        </w:rPr>
        <w:t>Eligible Entities may nominate candidate ARRs from their verified GFA NITS Candidate ARRs not to exceed the difference between their GFA NITS Nomination Cap and those ARRs awarded in the annual ARR allocation process;</w:t>
      </w:r>
    </w:p>
    <w:p w:rsidR="00936B11" w:rsidRDefault="00936B11" w:rsidP="00936B11">
      <w:pPr>
        <w:pStyle w:val="ParaText"/>
        <w:numPr>
          <w:ilvl w:val="1"/>
          <w:numId w:val="33"/>
        </w:numPr>
        <w:spacing w:before="120"/>
        <w:ind w:hanging="540"/>
        <w:rPr>
          <w:szCs w:val="24"/>
        </w:rPr>
      </w:pPr>
      <w:r>
        <w:rPr>
          <w:szCs w:val="24"/>
        </w:rPr>
        <w:t>Eligible Entities may nominate candidate ARRs from their verified GFA FPTP Candidate ARRs not to exceed the difference between their GFA FPTP Nomination Cap and those ARRs awarded in the annual ARR allocation process;</w:t>
      </w:r>
    </w:p>
    <w:p w:rsidR="00936B11" w:rsidRDefault="00936B11" w:rsidP="00936B11">
      <w:pPr>
        <w:pStyle w:val="ParaText"/>
        <w:numPr>
          <w:ilvl w:val="1"/>
          <w:numId w:val="33"/>
        </w:numPr>
        <w:spacing w:before="120"/>
        <w:ind w:hanging="540"/>
        <w:rPr>
          <w:szCs w:val="24"/>
        </w:rPr>
      </w:pPr>
      <w:r>
        <w:rPr>
          <w:szCs w:val="24"/>
        </w:rPr>
        <w:t>Nominated candidate ARRs are awarded up to the amount that is simultaneously feasible;</w:t>
      </w:r>
    </w:p>
    <w:p w:rsidR="00936B11" w:rsidRDefault="00936B11" w:rsidP="00936B11">
      <w:pPr>
        <w:pStyle w:val="ParaText"/>
        <w:numPr>
          <w:ilvl w:val="1"/>
          <w:numId w:val="33"/>
        </w:numPr>
        <w:spacing w:before="120"/>
        <w:ind w:hanging="540"/>
        <w:rPr>
          <w:szCs w:val="24"/>
        </w:rPr>
      </w:pPr>
      <w:r>
        <w:rPr>
          <w:szCs w:val="24"/>
        </w:rPr>
        <w:t>All TCRs previously awarded in the Annual TCR Auction Process and all remaining ARRs not accounted for in the Annual TCR Auction Process for the applicable month are modeled as fixed injections at the specified sources and fixed withdrawals at the specified sinks prior to assessing nominated candidate ARR feasibility.</w:t>
      </w:r>
    </w:p>
    <w:p w:rsidR="00936B11" w:rsidRDefault="00936B11" w:rsidP="00936B11">
      <w:pPr>
        <w:pStyle w:val="ParaText"/>
        <w:numPr>
          <w:ilvl w:val="0"/>
          <w:numId w:val="33"/>
        </w:numPr>
        <w:spacing w:before="120"/>
        <w:ind w:left="720" w:hanging="547"/>
        <w:rPr>
          <w:szCs w:val="24"/>
        </w:rPr>
      </w:pPr>
      <w:r>
        <w:rPr>
          <w:szCs w:val="24"/>
        </w:rPr>
        <w:t>Awarded ARRs are of the obligation type which means that the awarded ARR could result in a payment or charge to the ARR holder; and</w:t>
      </w:r>
    </w:p>
    <w:p w:rsidR="00936B11" w:rsidRDefault="00936B11" w:rsidP="00936B11">
      <w:pPr>
        <w:pStyle w:val="ParaText"/>
        <w:numPr>
          <w:ilvl w:val="0"/>
          <w:numId w:val="33"/>
        </w:numPr>
        <w:spacing w:before="120"/>
        <w:ind w:left="720" w:hanging="540"/>
        <w:rPr>
          <w:szCs w:val="24"/>
        </w:rPr>
      </w:pPr>
      <w:r>
        <w:rPr>
          <w:szCs w:val="24"/>
        </w:rPr>
        <w:t>100% of the SPP transmission system capability is available for allocation.</w:t>
      </w:r>
    </w:p>
    <w:p w:rsidR="00936B11" w:rsidRDefault="00936B11" w:rsidP="00936B11">
      <w:pPr>
        <w:pStyle w:val="ParaText"/>
        <w:spacing w:before="120"/>
        <w:ind w:left="-270"/>
        <w:rPr>
          <w:szCs w:val="24"/>
        </w:rPr>
      </w:pPr>
      <w:r w:rsidRPr="007235E8">
        <w:rPr>
          <w:szCs w:val="24"/>
        </w:rPr>
        <w:t xml:space="preserve">Key features of the </w:t>
      </w:r>
      <w:r>
        <w:rPr>
          <w:szCs w:val="24"/>
        </w:rPr>
        <w:t>m</w:t>
      </w:r>
      <w:r w:rsidRPr="007235E8">
        <w:rPr>
          <w:szCs w:val="24"/>
        </w:rPr>
        <w:t xml:space="preserve">onthly </w:t>
      </w:r>
      <w:commentRangeStart w:id="54"/>
      <w:proofErr w:type="spellStart"/>
      <w:r>
        <w:rPr>
          <w:szCs w:val="24"/>
        </w:rPr>
        <w:t>TCR</w:t>
      </w:r>
      <w:commentRangeEnd w:id="54"/>
      <w:r>
        <w:rPr>
          <w:rStyle w:val="CommentReference"/>
        </w:rPr>
        <w:commentReference w:id="54"/>
      </w:r>
      <w:r>
        <w:rPr>
          <w:szCs w:val="24"/>
        </w:rPr>
        <w:t>auction</w:t>
      </w:r>
      <w:proofErr w:type="spellEnd"/>
      <w:r w:rsidRPr="007235E8">
        <w:rPr>
          <w:szCs w:val="24"/>
        </w:rPr>
        <w:t xml:space="preserve"> include:</w:t>
      </w:r>
    </w:p>
    <w:p w:rsidR="00936B11" w:rsidRDefault="00936B11" w:rsidP="00936B11">
      <w:pPr>
        <w:pStyle w:val="ParaText"/>
        <w:numPr>
          <w:ilvl w:val="0"/>
          <w:numId w:val="34"/>
        </w:numPr>
        <w:spacing w:before="120"/>
        <w:ind w:hanging="540"/>
        <w:rPr>
          <w:szCs w:val="24"/>
        </w:rPr>
      </w:pPr>
      <w:r>
        <w:rPr>
          <w:szCs w:val="24"/>
        </w:rPr>
        <w:t xml:space="preserve">The monthly TCR auction process allows any Market Participants that have met the applicable credit requirements to submit TCR Bids to purchase additional TCRs or TCR Offers to sell currently held TCRs in a single-round process for the months of July, August and September and in a two-round process for the months of October through May;  </w:t>
      </w:r>
    </w:p>
    <w:p w:rsidR="00936B11" w:rsidRDefault="00936B11" w:rsidP="00936B11">
      <w:pPr>
        <w:pStyle w:val="ParaText"/>
        <w:numPr>
          <w:ilvl w:val="0"/>
          <w:numId w:val="34"/>
        </w:numPr>
        <w:spacing w:before="120"/>
        <w:ind w:hanging="540"/>
        <w:rPr>
          <w:szCs w:val="24"/>
        </w:rPr>
      </w:pPr>
      <w:r>
        <w:rPr>
          <w:szCs w:val="24"/>
        </w:rPr>
        <w:t>100% of the SPP transmission system capability is made available; and</w:t>
      </w:r>
      <w:r w:rsidRPr="00ED6F21">
        <w:rPr>
          <w:szCs w:val="24"/>
        </w:rPr>
        <w:t xml:space="preserve"> </w:t>
      </w:r>
    </w:p>
    <w:p w:rsidR="00936B11" w:rsidRDefault="00936B11" w:rsidP="00936B11">
      <w:pPr>
        <w:pStyle w:val="ParaText"/>
        <w:numPr>
          <w:ilvl w:val="0"/>
          <w:numId w:val="34"/>
        </w:numPr>
        <w:spacing w:before="120"/>
        <w:ind w:hanging="540"/>
        <w:rPr>
          <w:szCs w:val="24"/>
        </w:rPr>
      </w:pPr>
      <w:r w:rsidRPr="00D42FC6">
        <w:rPr>
          <w:szCs w:val="24"/>
        </w:rPr>
        <w:lastRenderedPageBreak/>
        <w:t xml:space="preserve">Market Participants may self-convert their </w:t>
      </w:r>
      <w:r>
        <w:rPr>
          <w:szCs w:val="24"/>
        </w:rPr>
        <w:t xml:space="preserve">remaining </w:t>
      </w:r>
      <w:r w:rsidRPr="00D42FC6">
        <w:rPr>
          <w:szCs w:val="24"/>
        </w:rPr>
        <w:t>ARRs</w:t>
      </w:r>
      <w:r>
        <w:rPr>
          <w:szCs w:val="24"/>
        </w:rPr>
        <w:t xml:space="preserve"> (including ARRs remaining from the annual TCR auction process and ARRs awarded in the </w:t>
      </w:r>
      <w:commentRangeStart w:id="55"/>
      <w:r w:rsidRPr="005E43E7">
        <w:t xml:space="preserve">monthly </w:t>
      </w:r>
      <w:commentRangeEnd w:id="55"/>
      <w:r>
        <w:rPr>
          <w:rStyle w:val="CommentReference"/>
        </w:rPr>
        <w:commentReference w:id="55"/>
      </w:r>
      <w:r>
        <w:rPr>
          <w:szCs w:val="24"/>
        </w:rPr>
        <w:t>ARR allocation process)</w:t>
      </w:r>
      <w:r w:rsidRPr="00D42FC6">
        <w:rPr>
          <w:szCs w:val="24"/>
        </w:rPr>
        <w:t xml:space="preserve"> into TCRs for the applicable period subject to </w:t>
      </w:r>
      <w:r>
        <w:rPr>
          <w:szCs w:val="24"/>
        </w:rPr>
        <w:t>simultaneous feasibility.</w:t>
      </w:r>
    </w:p>
    <w:p w:rsidR="00936B11" w:rsidRDefault="00936B11" w:rsidP="00936B11">
      <w:pPr>
        <w:pStyle w:val="ParaText"/>
        <w:spacing w:after="0"/>
        <w:rPr>
          <w:szCs w:val="24"/>
        </w:rPr>
      </w:pPr>
      <w:r>
        <w:rPr>
          <w:szCs w:val="24"/>
        </w:rPr>
        <w:t>Exhibit 3-3 provides an overview of the TCR Markets structure.</w:t>
      </w:r>
    </w:p>
    <w:p w:rsidR="00450F30" w:rsidRDefault="00450F30">
      <w:pPr>
        <w:rPr>
          <w:b/>
        </w:rPr>
      </w:pPr>
      <w:bookmarkStart w:id="56" w:name="_Toc247468355"/>
      <w:r>
        <w:rPr>
          <w:b/>
        </w:rPr>
        <w:br w:type="page"/>
      </w:r>
    </w:p>
    <w:p w:rsidR="00936B11" w:rsidRDefault="00936B11" w:rsidP="00936B11">
      <w:pPr>
        <w:rPr>
          <w:b/>
        </w:rPr>
      </w:pPr>
    </w:p>
    <w:p w:rsidR="00936B11" w:rsidRDefault="00936B11" w:rsidP="00936B11">
      <w:pPr>
        <w:jc w:val="center"/>
        <w:rPr>
          <w:b/>
        </w:rPr>
      </w:pPr>
      <w:bookmarkStart w:id="57" w:name="_Toc381018397"/>
      <w:bookmarkEnd w:id="56"/>
      <w:r>
        <w:rPr>
          <w:b/>
        </w:rPr>
        <w:t xml:space="preserve">Exhibit </w:t>
      </w:r>
      <w:r>
        <w:fldChar w:fldCharType="begin"/>
      </w:r>
      <w:r>
        <w:rPr>
          <w:b/>
        </w:rPr>
        <w:instrText xml:space="preserve"> STYLEREF 1 \s </w:instrText>
      </w:r>
      <w:r>
        <w:fldChar w:fldCharType="separate"/>
      </w:r>
      <w:r>
        <w:rPr>
          <w:b/>
          <w:noProof/>
        </w:rPr>
        <w:t>3</w:t>
      </w:r>
      <w:r>
        <w:fldChar w:fldCharType="end"/>
      </w:r>
      <w:r>
        <w:rPr>
          <w:b/>
        </w:rPr>
        <w:noBreakHyphen/>
      </w:r>
      <w:r>
        <w:fldChar w:fldCharType="begin"/>
      </w:r>
      <w:r>
        <w:rPr>
          <w:b/>
        </w:rPr>
        <w:instrText xml:space="preserve"> SEQ Exhibit \* ARABIC \s 1 </w:instrText>
      </w:r>
      <w:r>
        <w:fldChar w:fldCharType="separate"/>
      </w:r>
      <w:r>
        <w:rPr>
          <w:b/>
          <w:noProof/>
        </w:rPr>
        <w:t>3</w:t>
      </w:r>
      <w:r>
        <w:fldChar w:fldCharType="end"/>
      </w:r>
      <w:r>
        <w:rPr>
          <w:b/>
        </w:rPr>
        <w:t>: Overview of TCR Markets Structure</w:t>
      </w:r>
      <w:bookmarkEnd w:id="57"/>
    </w:p>
    <w:p w:rsidR="00936B11" w:rsidRPr="003D2AD2" w:rsidRDefault="00936B11" w:rsidP="00936B11">
      <w:pPr>
        <w:jc w:val="center"/>
      </w:pPr>
    </w:p>
    <w:p w:rsidR="00936B11" w:rsidRPr="00AD7828" w:rsidRDefault="00936B11" w:rsidP="00936B11">
      <w:pPr>
        <w:pStyle w:val="ParaText"/>
        <w:spacing w:after="0"/>
        <w:ind w:left="360"/>
        <w:jc w:val="left"/>
      </w:pPr>
      <w:r w:rsidRPr="007B5AE5">
        <w:rPr>
          <w:noProof/>
        </w:rPr>
        <w:drawing>
          <wp:inline distT="0" distB="0" distL="0" distR="0" wp14:anchorId="0C06D9BD" wp14:editId="7DDBD42A">
            <wp:extent cx="5943600" cy="3750441"/>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13" cstate="print"/>
                    <a:srcRect/>
                    <a:stretch>
                      <a:fillRect/>
                    </a:stretch>
                  </pic:blipFill>
                  <pic:spPr bwMode="auto">
                    <a:xfrm>
                      <a:off x="0" y="0"/>
                      <a:ext cx="5943600" cy="3750441"/>
                    </a:xfrm>
                    <a:prstGeom prst="rect">
                      <a:avLst/>
                    </a:prstGeom>
                    <a:noFill/>
                    <a:ln w="9525">
                      <a:noFill/>
                      <a:miter lim="800000"/>
                      <a:headEnd/>
                      <a:tailEnd/>
                    </a:ln>
                  </pic:spPr>
                </pic:pic>
              </a:graphicData>
            </a:graphic>
          </wp:inline>
        </w:drawing>
      </w:r>
    </w:p>
    <w:p w:rsidR="00936B11" w:rsidRDefault="00936B11" w:rsidP="00936B11">
      <w:pPr>
        <w:pStyle w:val="ParaText"/>
        <w:spacing w:after="0"/>
        <w:ind w:left="360"/>
      </w:pPr>
    </w:p>
    <w:p w:rsidR="00936B11" w:rsidRDefault="00936B11" w:rsidP="00936B11">
      <w:pPr>
        <w:pStyle w:val="ParaText"/>
        <w:spacing w:after="0"/>
        <w:rPr>
          <w:szCs w:val="24"/>
        </w:rPr>
      </w:pPr>
      <w:r>
        <w:rPr>
          <w:szCs w:val="24"/>
        </w:rPr>
        <w:t xml:space="preserve">The TCR Markets are operated in parallel with the timeline depicted in Exhibit 3-2 to ensure the Market Participants are able to obtain TCRs prior to DA Market operation.  A representative timeline for the TCR Market processes is shown in Exhibit 3-4. </w:t>
      </w:r>
    </w:p>
    <w:p w:rsidR="00936B11" w:rsidRDefault="00936B11" w:rsidP="00936B11">
      <w:pPr>
        <w:pStyle w:val="ParaText"/>
        <w:spacing w:after="0"/>
        <w:rPr>
          <w:szCs w:val="24"/>
        </w:rPr>
      </w:pPr>
    </w:p>
    <w:p w:rsidR="00936B11" w:rsidRDefault="00936B11" w:rsidP="00936B11">
      <w:pPr>
        <w:rPr>
          <w:b/>
        </w:rPr>
      </w:pPr>
      <w:r>
        <w:rPr>
          <w:b/>
        </w:rPr>
        <w:br w:type="page"/>
      </w:r>
    </w:p>
    <w:p w:rsidR="00936B11" w:rsidRDefault="00936B11" w:rsidP="00936B11">
      <w:pPr>
        <w:jc w:val="center"/>
        <w:rPr>
          <w:b/>
        </w:rPr>
      </w:pPr>
      <w:bookmarkStart w:id="58" w:name="_Toc381018398"/>
      <w:r>
        <w:rPr>
          <w:b/>
        </w:rPr>
        <w:lastRenderedPageBreak/>
        <w:t xml:space="preserve">Exhibit </w:t>
      </w:r>
      <w:r>
        <w:fldChar w:fldCharType="begin"/>
      </w:r>
      <w:r>
        <w:rPr>
          <w:b/>
        </w:rPr>
        <w:instrText xml:space="preserve"> STYLEREF 1 \s </w:instrText>
      </w:r>
      <w:r>
        <w:fldChar w:fldCharType="separate"/>
      </w:r>
      <w:r>
        <w:rPr>
          <w:b/>
          <w:noProof/>
        </w:rPr>
        <w:t>3</w:t>
      </w:r>
      <w:r>
        <w:fldChar w:fldCharType="end"/>
      </w:r>
      <w:r>
        <w:rPr>
          <w:b/>
        </w:rPr>
        <w:noBreakHyphen/>
      </w:r>
      <w:r>
        <w:fldChar w:fldCharType="begin"/>
      </w:r>
      <w:r>
        <w:rPr>
          <w:b/>
        </w:rPr>
        <w:instrText xml:space="preserve"> SEQ Exhibit \* ARABIC \s 1 </w:instrText>
      </w:r>
      <w:r>
        <w:fldChar w:fldCharType="separate"/>
      </w:r>
      <w:r>
        <w:rPr>
          <w:b/>
          <w:noProof/>
        </w:rPr>
        <w:t>4</w:t>
      </w:r>
      <w:r>
        <w:fldChar w:fldCharType="end"/>
      </w:r>
      <w:r>
        <w:rPr>
          <w:b/>
        </w:rPr>
        <w:t xml:space="preserve">: </w:t>
      </w:r>
      <w:commentRangeStart w:id="59"/>
      <w:r>
        <w:rPr>
          <w:b/>
        </w:rPr>
        <w:t>LTCR/</w:t>
      </w:r>
      <w:commentRangeEnd w:id="59"/>
      <w:r>
        <w:rPr>
          <w:rStyle w:val="CommentReference"/>
        </w:rPr>
        <w:commentReference w:id="59"/>
      </w:r>
      <w:r>
        <w:rPr>
          <w:b/>
        </w:rPr>
        <w:t>ARR Allocation/TCR Auction Processes Timeline</w:t>
      </w:r>
      <w:bookmarkEnd w:id="58"/>
    </w:p>
    <w:p w:rsidR="00936B11" w:rsidRDefault="00936B11" w:rsidP="00936B11">
      <w:pPr>
        <w:pStyle w:val="ParaText"/>
        <w:spacing w:after="0"/>
        <w:rPr>
          <w:szCs w:val="24"/>
        </w:rPr>
      </w:pPr>
    </w:p>
    <w:bookmarkStart w:id="60" w:name="OLE_LINK108"/>
    <w:p w:rsidR="00936B11" w:rsidRDefault="00936B11" w:rsidP="00936B11">
      <w:pPr>
        <w:spacing w:before="120" w:line="300" w:lineRule="auto"/>
      </w:pPr>
      <w:r>
        <w:object w:dxaOrig="16066" w:dyaOrig="9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265.7pt" o:ole="">
            <v:imagedata r:id="rId14" o:title=""/>
          </v:shape>
          <o:OLEObject Type="Embed" ProgID="Visio.Drawing.11" ShapeID="_x0000_i1025" DrawAspect="Content" ObjectID="_1456148932" r:id="rId15"/>
        </w:object>
      </w:r>
    </w:p>
    <w:bookmarkEnd w:id="60"/>
    <w:p w:rsidR="00936B11" w:rsidRDefault="00936B11" w:rsidP="00936B11">
      <w:pPr>
        <w:spacing w:before="120" w:line="300" w:lineRule="auto"/>
      </w:pPr>
      <w:r>
        <w:t xml:space="preserve">The Energy and Operating Reserve Markets processes are described in detail in Section </w:t>
      </w:r>
      <w:r>
        <w:fldChar w:fldCharType="begin"/>
      </w:r>
      <w:r>
        <w:instrText xml:space="preserve"> REF _Ref349712340 \n \h </w:instrText>
      </w:r>
      <w:r>
        <w:fldChar w:fldCharType="separate"/>
      </w:r>
      <w:r>
        <w:t>4</w:t>
      </w:r>
      <w:r>
        <w:fldChar w:fldCharType="end"/>
      </w:r>
      <w:r>
        <w:t xml:space="preserve"> and the TCR Markets processes are described in detail in Section </w:t>
      </w:r>
      <w:r>
        <w:fldChar w:fldCharType="begin"/>
      </w:r>
      <w:r>
        <w:instrText xml:space="preserve"> REF _Ref349662039 \n \h </w:instrText>
      </w:r>
      <w:r>
        <w:fldChar w:fldCharType="separate"/>
      </w:r>
      <w:r>
        <w:t>5</w:t>
      </w:r>
      <w:r>
        <w:fldChar w:fldCharType="end"/>
      </w:r>
      <w:r>
        <w:t>.</w:t>
      </w:r>
    </w:p>
    <w:p w:rsidR="00936B11" w:rsidRDefault="00936B11" w:rsidP="00936B11">
      <w:pPr>
        <w:spacing w:before="120" w:line="300" w:lineRule="auto"/>
      </w:pPr>
    </w:p>
    <w:p w:rsidR="00936B11" w:rsidRDefault="00936B11" w:rsidP="00936B11">
      <w:pPr>
        <w:spacing w:before="120" w:line="300" w:lineRule="auto"/>
      </w:pPr>
    </w:p>
    <w:p w:rsidR="00936B11" w:rsidRPr="00936B11" w:rsidRDefault="00936B11" w:rsidP="00936B11">
      <w:pPr>
        <w:pStyle w:val="Heading1"/>
        <w:tabs>
          <w:tab w:val="num" w:pos="1080"/>
        </w:tabs>
        <w:spacing w:before="0" w:after="240"/>
        <w:ind w:left="1080" w:hanging="1080"/>
        <w:jc w:val="both"/>
        <w:rPr>
          <w:rFonts w:ascii="Times New Roman" w:hAnsi="Times New Roman"/>
          <w:bCs w:val="0"/>
        </w:rPr>
      </w:pPr>
      <w:bookmarkStart w:id="61" w:name="_Toc243211965"/>
      <w:bookmarkStart w:id="62" w:name="_Toc245634035"/>
      <w:bookmarkStart w:id="63" w:name="_Toc245634187"/>
      <w:bookmarkStart w:id="64" w:name="_Toc247271052"/>
      <w:bookmarkStart w:id="65" w:name="_Ref252822434"/>
      <w:bookmarkStart w:id="66" w:name="_Toc245728077"/>
      <w:bookmarkStart w:id="67" w:name="_Toc248644195"/>
      <w:bookmarkStart w:id="68" w:name="_Toc258924962"/>
      <w:bookmarkStart w:id="69" w:name="_Toc263173413"/>
      <w:bookmarkStart w:id="70" w:name="_Toc263173642"/>
      <w:bookmarkStart w:id="71" w:name="_Toc263173828"/>
      <w:bookmarkStart w:id="72" w:name="_Toc263174240"/>
      <w:bookmarkStart w:id="73" w:name="_Toc263235139"/>
      <w:bookmarkStart w:id="74" w:name="_Toc263235783"/>
      <w:bookmarkStart w:id="75" w:name="_Toc263429526"/>
      <w:bookmarkStart w:id="76" w:name="_Toc263795566"/>
      <w:bookmarkStart w:id="77" w:name="_Toc266869742"/>
      <w:bookmarkStart w:id="78" w:name="_Ref268087007"/>
      <w:bookmarkStart w:id="79" w:name="_Ref349662039"/>
      <w:bookmarkStart w:id="80" w:name="_Toc381089986"/>
      <w:r w:rsidRPr="00936B11">
        <w:rPr>
          <w:rFonts w:ascii="Times New Roman" w:hAnsi="Times New Roman"/>
          <w:bCs w:val="0"/>
        </w:rPr>
        <w:t>5.</w:t>
      </w:r>
      <w:r w:rsidRPr="00936B11">
        <w:rPr>
          <w:rFonts w:ascii="Times New Roman" w:hAnsi="Times New Roman"/>
          <w:bCs w:val="0"/>
        </w:rPr>
        <w:tab/>
        <w:t>Transmission Congestion Rights Markets Process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936B11" w:rsidRDefault="00936B11" w:rsidP="00936B11">
      <w:pPr>
        <w:pStyle w:val="ParaText"/>
        <w:rPr>
          <w:szCs w:val="24"/>
        </w:rPr>
      </w:pPr>
      <w:r>
        <w:rPr>
          <w:szCs w:val="24"/>
        </w:rPr>
        <w:t xml:space="preserve">The </w:t>
      </w:r>
      <w:commentRangeStart w:id="81"/>
      <w:r w:rsidRPr="001254EA">
        <w:t xml:space="preserve">annual </w:t>
      </w:r>
      <w:commentRangeEnd w:id="81"/>
      <w:r>
        <w:rPr>
          <w:rStyle w:val="CommentReference"/>
        </w:rPr>
        <w:commentReference w:id="81"/>
      </w:r>
      <w:r>
        <w:rPr>
          <w:szCs w:val="24"/>
        </w:rPr>
        <w:t xml:space="preserve">TCR Markets Process includes an annual </w:t>
      </w:r>
      <w:commentRangeStart w:id="82"/>
      <w:r w:rsidRPr="001254EA">
        <w:t xml:space="preserve">LTCR allocation process, an annual and monthly </w:t>
      </w:r>
      <w:commentRangeEnd w:id="82"/>
      <w:r>
        <w:rPr>
          <w:rStyle w:val="CommentReference"/>
        </w:rPr>
        <w:commentReference w:id="82"/>
      </w:r>
      <w:r>
        <w:rPr>
          <w:szCs w:val="24"/>
        </w:rPr>
        <w:t>ARR allocation process and annual and monthly TCR Auctions.</w:t>
      </w:r>
    </w:p>
    <w:p w:rsidR="00936B11" w:rsidRDefault="00936B11" w:rsidP="00936B11">
      <w:pPr>
        <w:pStyle w:val="ParaText"/>
        <w:rPr>
          <w:szCs w:val="24"/>
        </w:rPr>
      </w:pPr>
      <w:commentRangeStart w:id="83"/>
      <w:r w:rsidRPr="001254EA">
        <w:t>LTCRs are multi-year instruments, ARRs are annual, monthly or seasonal instruments, and</w:t>
      </w:r>
      <w:r>
        <w:rPr>
          <w:szCs w:val="24"/>
        </w:rPr>
        <w:t xml:space="preserve"> </w:t>
      </w:r>
      <w:commentRangeEnd w:id="83"/>
      <w:r>
        <w:rPr>
          <w:rStyle w:val="CommentReference"/>
        </w:rPr>
        <w:commentReference w:id="83"/>
      </w:r>
      <w:r>
        <w:rPr>
          <w:szCs w:val="24"/>
        </w:rPr>
        <w:t xml:space="preserve">TCRs </w:t>
      </w:r>
      <w:r w:rsidRPr="0070142C">
        <w:rPr>
          <w:szCs w:val="24"/>
        </w:rPr>
        <w:t xml:space="preserve">are </w:t>
      </w:r>
      <w:r>
        <w:rPr>
          <w:szCs w:val="24"/>
        </w:rPr>
        <w:t xml:space="preserve">monthly and seasonal </w:t>
      </w:r>
      <w:r w:rsidRPr="0070142C">
        <w:rPr>
          <w:szCs w:val="24"/>
        </w:rPr>
        <w:t xml:space="preserve">financial instruments whose values are determined </w:t>
      </w:r>
      <w:r>
        <w:rPr>
          <w:szCs w:val="24"/>
        </w:rPr>
        <w:t>as part of the DA Market settlement based on the MW amount of the TCR</w:t>
      </w:r>
      <w:commentRangeStart w:id="84"/>
      <w:r w:rsidRPr="001254EA">
        <w:t xml:space="preserve"> (including LTCRs converted to TCRs)</w:t>
      </w:r>
      <w:r>
        <w:t xml:space="preserve"> </w:t>
      </w:r>
      <w:commentRangeEnd w:id="84"/>
      <w:r>
        <w:rPr>
          <w:rStyle w:val="CommentReference"/>
        </w:rPr>
        <w:commentReference w:id="84"/>
      </w:r>
      <w:r>
        <w:rPr>
          <w:szCs w:val="24"/>
        </w:rPr>
        <w:t xml:space="preserve">and the DA Market differential of the Marginal Congestion Component of LMP between specified sinks and sources.  </w:t>
      </w:r>
      <w:bookmarkStart w:id="85" w:name="OLE_LINK157"/>
      <w:bookmarkStart w:id="86" w:name="OLE_LINK158"/>
      <w:r>
        <w:rPr>
          <w:szCs w:val="24"/>
        </w:rPr>
        <w:t>TCR</w:t>
      </w:r>
      <w:r w:rsidRPr="00C96684">
        <w:rPr>
          <w:szCs w:val="24"/>
        </w:rPr>
        <w:t xml:space="preserve">s </w:t>
      </w:r>
      <w:r>
        <w:rPr>
          <w:szCs w:val="24"/>
        </w:rPr>
        <w:t>are of the obligation type which means they can result in a credit or a charge.</w:t>
      </w:r>
      <w:bookmarkEnd w:id="85"/>
      <w:bookmarkEnd w:id="86"/>
      <w:r>
        <w:rPr>
          <w:szCs w:val="24"/>
        </w:rPr>
        <w:t xml:space="preserve">  They </w:t>
      </w:r>
      <w:r w:rsidRPr="00C96684">
        <w:rPr>
          <w:szCs w:val="24"/>
        </w:rPr>
        <w:t xml:space="preserve">provide a financial hedge </w:t>
      </w:r>
      <w:r>
        <w:rPr>
          <w:szCs w:val="24"/>
        </w:rPr>
        <w:t>against</w:t>
      </w:r>
      <w:r w:rsidRPr="00C96684">
        <w:rPr>
          <w:szCs w:val="24"/>
        </w:rPr>
        <w:t xml:space="preserve"> congestion cost</w:t>
      </w:r>
      <w:r>
        <w:rPr>
          <w:szCs w:val="24"/>
        </w:rPr>
        <w:t>s</w:t>
      </w:r>
      <w:r w:rsidRPr="00C96684">
        <w:rPr>
          <w:szCs w:val="24"/>
        </w:rPr>
        <w:t xml:space="preserve"> in the</w:t>
      </w:r>
      <w:r>
        <w:rPr>
          <w:szCs w:val="24"/>
        </w:rPr>
        <w:t xml:space="preserve"> DA Market as long as the MCC of the TCR sink Settlement Location is greater than the MCC of the TCR source Settlement Location</w:t>
      </w:r>
      <w:r w:rsidRPr="00C96684">
        <w:rPr>
          <w:szCs w:val="24"/>
        </w:rPr>
        <w:t>.</w:t>
      </w:r>
      <w:r>
        <w:rPr>
          <w:szCs w:val="24"/>
        </w:rPr>
        <w:t xml:space="preserve">  If the MCC at the TCR sink Settlement Location is less than the MCC of the TCR source Settlement Location, the TCR holder is charged (this type of TCR is </w:t>
      </w:r>
      <w:r>
        <w:rPr>
          <w:szCs w:val="24"/>
        </w:rPr>
        <w:lastRenderedPageBreak/>
        <w:t>commonly referred to as a “Counter-Flow TCR”).</w:t>
      </w:r>
      <w:ins w:id="87" w:author="Micha Bailey" w:date="2014-03-12T14:15:00Z">
        <w:r w:rsidR="0006281B">
          <w:t xml:space="preserve">  Awarded LTCRs are directly converted into TCRs prior to the annual ARR allocation for the current allocation year.</w:t>
        </w:r>
      </w:ins>
      <w:r>
        <w:rPr>
          <w:szCs w:val="24"/>
        </w:rPr>
        <w:t xml:space="preserve">       </w:t>
      </w:r>
      <w:r w:rsidRPr="0070142C">
        <w:rPr>
          <w:szCs w:val="24"/>
        </w:rPr>
        <w:t xml:space="preserve"> </w:t>
      </w:r>
      <w:r>
        <w:rPr>
          <w:szCs w:val="24"/>
        </w:rPr>
        <w:t xml:space="preserve">   </w:t>
      </w:r>
    </w:p>
    <w:p w:rsidR="00936B11" w:rsidRDefault="00936B11" w:rsidP="00936B11">
      <w:pPr>
        <w:pStyle w:val="ParaText"/>
        <w:rPr>
          <w:szCs w:val="24"/>
        </w:rPr>
      </w:pPr>
      <w:r>
        <w:rPr>
          <w:szCs w:val="24"/>
        </w:rPr>
        <w:t>Auction Revenue Rights (ARRs) are obtained by Eligible Entities during the annual ARR allocation process and/or monthly ARR allocation process.</w:t>
      </w:r>
      <w:r w:rsidRPr="004547BC">
        <w:rPr>
          <w:szCs w:val="24"/>
        </w:rPr>
        <w:t xml:space="preserve"> </w:t>
      </w:r>
      <w:r>
        <w:rPr>
          <w:szCs w:val="24"/>
        </w:rPr>
        <w:t xml:space="preserve"> </w:t>
      </w:r>
      <w:commentRangeStart w:id="88"/>
      <w:del w:id="89" w:author="Micha Bailey" w:date="2014-03-12T14:15:00Z">
        <w:r w:rsidRPr="001254EA" w:rsidDel="0006281B">
          <w:delText>LTCRs are automatically converted into ARRs and TCRs for modeling and settlement purposes.</w:delText>
        </w:r>
        <w:r w:rsidDel="0006281B">
          <w:delText xml:space="preserve"> </w:delText>
        </w:r>
      </w:del>
      <w:commentRangeEnd w:id="88"/>
      <w:r>
        <w:rPr>
          <w:rStyle w:val="CommentReference"/>
        </w:rPr>
        <w:commentReference w:id="88"/>
      </w:r>
      <w:r>
        <w:rPr>
          <w:szCs w:val="24"/>
        </w:rPr>
        <w:t xml:space="preserve">Holders of ARRs are </w:t>
      </w:r>
      <w:r w:rsidRPr="00222336">
        <w:rPr>
          <w:szCs w:val="24"/>
        </w:rPr>
        <w:t xml:space="preserve">entitled to </w:t>
      </w:r>
      <w:r>
        <w:rPr>
          <w:szCs w:val="24"/>
        </w:rPr>
        <w:t xml:space="preserve">receive </w:t>
      </w:r>
      <w:r w:rsidRPr="00222336">
        <w:rPr>
          <w:szCs w:val="24"/>
        </w:rPr>
        <w:t>the Annual and Monthly TCR Auction revenues associated with awarded</w:t>
      </w:r>
      <w:r>
        <w:rPr>
          <w:szCs w:val="24"/>
        </w:rPr>
        <w:t xml:space="preserve"> TCR Bids.</w:t>
      </w:r>
      <w:r w:rsidRPr="004547BC">
        <w:rPr>
          <w:szCs w:val="24"/>
        </w:rPr>
        <w:t xml:space="preserve"> </w:t>
      </w:r>
      <w:r>
        <w:rPr>
          <w:szCs w:val="24"/>
        </w:rPr>
        <w:t xml:space="preserve">  However, ARRs</w:t>
      </w:r>
      <w:r w:rsidRPr="00C96684">
        <w:rPr>
          <w:szCs w:val="24"/>
        </w:rPr>
        <w:t xml:space="preserve"> </w:t>
      </w:r>
      <w:r>
        <w:rPr>
          <w:szCs w:val="24"/>
        </w:rPr>
        <w:t>are of the obligation type which means they can result in the holder receiving a portion of the TCR auction revenues or contributing to the TCR auction revenues.</w:t>
      </w:r>
      <w:commentRangeStart w:id="90"/>
      <w:r w:rsidRPr="001254EA">
        <w:t xml:space="preserve">  ARRs associated with LTCRs are automatically converted into TCRs which may be sold in the annual and Monthly TCR auctions.</w:t>
      </w:r>
      <w:commentRangeEnd w:id="90"/>
      <w:r>
        <w:rPr>
          <w:rStyle w:val="CommentReference"/>
        </w:rPr>
        <w:commentReference w:id="90"/>
      </w:r>
    </w:p>
    <w:p w:rsidR="00936B11" w:rsidRDefault="00936B11" w:rsidP="00936B11">
      <w:pPr>
        <w:pStyle w:val="ParaText"/>
        <w:rPr>
          <w:szCs w:val="24"/>
        </w:rPr>
      </w:pPr>
      <w:r>
        <w:rPr>
          <w:szCs w:val="24"/>
        </w:rPr>
        <w:t xml:space="preserve">TCRs are obtained by Market Participants through the </w:t>
      </w:r>
      <w:ins w:id="91" w:author="Micha Bailey" w:date="2014-03-12T14:15:00Z">
        <w:r w:rsidR="0006281B">
          <w:t xml:space="preserve">annual LTCR allocation and the </w:t>
        </w:r>
      </w:ins>
      <w:r>
        <w:rPr>
          <w:szCs w:val="24"/>
        </w:rPr>
        <w:t>Annual and Monthly TCR Auctions.  Optionally, ARR holders may convert their ARRs into TCRs in the Annual and Monthly TCR Auctions and either hold the TCRs or offer these TCRs for sale in the auctions.</w:t>
      </w:r>
      <w:r w:rsidRPr="00BB0810">
        <w:rPr>
          <w:szCs w:val="24"/>
        </w:rPr>
        <w:t xml:space="preserve"> </w:t>
      </w:r>
    </w:p>
    <w:p w:rsidR="00936B11" w:rsidRDefault="00936B11" w:rsidP="00936B11">
      <w:pPr>
        <w:pStyle w:val="ParaText"/>
        <w:rPr>
          <w:szCs w:val="24"/>
        </w:rPr>
      </w:pPr>
      <w:r w:rsidRPr="00FB1ECE">
        <w:t xml:space="preserve">The TCR Markets Process is subject to review by the Market Monitor, </w:t>
      </w:r>
      <w:r w:rsidRPr="0006641F">
        <w:rPr>
          <w:szCs w:val="24"/>
        </w:rPr>
        <w:t>consistent with Attachment A</w:t>
      </w:r>
      <w:r>
        <w:rPr>
          <w:szCs w:val="24"/>
        </w:rPr>
        <w:t>G</w:t>
      </w:r>
      <w:r w:rsidRPr="0006641F">
        <w:rPr>
          <w:szCs w:val="24"/>
        </w:rPr>
        <w:t xml:space="preserve"> of the SPP OATT</w:t>
      </w:r>
      <w:r w:rsidRPr="00FB1ECE">
        <w:t>.</w:t>
      </w:r>
    </w:p>
    <w:p w:rsidR="00936B11" w:rsidRDefault="00936B11" w:rsidP="00936B11">
      <w:pPr>
        <w:pStyle w:val="ParaText"/>
        <w:rPr>
          <w:szCs w:val="24"/>
        </w:rPr>
      </w:pPr>
      <w:r>
        <w:rPr>
          <w:szCs w:val="24"/>
        </w:rPr>
        <w:t xml:space="preserve">There are </w:t>
      </w:r>
      <w:commentRangeStart w:id="92"/>
      <w:r w:rsidRPr="001254EA">
        <w:t>8</w:t>
      </w:r>
      <w:commentRangeEnd w:id="92"/>
      <w:r>
        <w:rPr>
          <w:rStyle w:val="CommentReference"/>
        </w:rPr>
        <w:commentReference w:id="92"/>
      </w:r>
      <w:r>
        <w:rPr>
          <w:szCs w:val="24"/>
        </w:rPr>
        <w:t xml:space="preserve"> key steps associated with obtaining a</w:t>
      </w:r>
      <w:commentRangeStart w:id="93"/>
      <w:r w:rsidRPr="001254EA">
        <w:t>n LTCR or</w:t>
      </w:r>
      <w:commentRangeEnd w:id="93"/>
      <w:r>
        <w:rPr>
          <w:rStyle w:val="CommentReference"/>
        </w:rPr>
        <w:commentReference w:id="93"/>
      </w:r>
      <w:r>
        <w:rPr>
          <w:szCs w:val="24"/>
        </w:rPr>
        <w:t xml:space="preserve"> TCR and/or offering an awarded </w:t>
      </w:r>
      <w:commentRangeStart w:id="94"/>
      <w:r w:rsidRPr="001254EA">
        <w:t xml:space="preserve">LTCR or </w:t>
      </w:r>
      <w:commentRangeEnd w:id="94"/>
      <w:r>
        <w:rPr>
          <w:rStyle w:val="CommentReference"/>
        </w:rPr>
        <w:commentReference w:id="94"/>
      </w:r>
      <w:r>
        <w:rPr>
          <w:szCs w:val="24"/>
        </w:rPr>
        <w:t>TCR for sale.</w:t>
      </w:r>
    </w:p>
    <w:p w:rsidR="00936B11" w:rsidRDefault="00936B11" w:rsidP="00936B11">
      <w:pPr>
        <w:pStyle w:val="ParaText"/>
        <w:numPr>
          <w:ilvl w:val="0"/>
          <w:numId w:val="36"/>
        </w:numPr>
        <w:spacing w:before="120"/>
        <w:ind w:hanging="540"/>
        <w:rPr>
          <w:szCs w:val="24"/>
        </w:rPr>
      </w:pPr>
      <w:r>
        <w:rPr>
          <w:szCs w:val="24"/>
        </w:rPr>
        <w:t xml:space="preserve">Annual </w:t>
      </w:r>
      <w:commentRangeStart w:id="95"/>
      <w:r w:rsidRPr="001254EA">
        <w:t>LTCR/</w:t>
      </w:r>
      <w:commentRangeEnd w:id="95"/>
      <w:r>
        <w:rPr>
          <w:rStyle w:val="CommentReference"/>
        </w:rPr>
        <w:commentReference w:id="95"/>
      </w:r>
      <w:r>
        <w:rPr>
          <w:szCs w:val="24"/>
        </w:rPr>
        <w:t>ARR Verification Process;</w:t>
      </w:r>
    </w:p>
    <w:p w:rsidR="00936B11" w:rsidRDefault="00936B11" w:rsidP="00936B11">
      <w:pPr>
        <w:pStyle w:val="ParaText"/>
        <w:numPr>
          <w:ilvl w:val="0"/>
          <w:numId w:val="36"/>
        </w:numPr>
        <w:spacing w:before="120"/>
        <w:ind w:hanging="540"/>
        <w:rPr>
          <w:szCs w:val="24"/>
        </w:rPr>
      </w:pPr>
      <w:commentRangeStart w:id="96"/>
      <w:r w:rsidRPr="001254EA">
        <w:t>Annual LTCR Allocation Process</w:t>
      </w:r>
      <w:r>
        <w:t>;</w:t>
      </w:r>
      <w:commentRangeEnd w:id="96"/>
      <w:r>
        <w:rPr>
          <w:rStyle w:val="CommentReference"/>
        </w:rPr>
        <w:commentReference w:id="96"/>
      </w:r>
    </w:p>
    <w:p w:rsidR="00936B11" w:rsidRDefault="00936B11" w:rsidP="00936B11">
      <w:pPr>
        <w:pStyle w:val="ParaText"/>
        <w:numPr>
          <w:ilvl w:val="0"/>
          <w:numId w:val="36"/>
        </w:numPr>
        <w:spacing w:before="120"/>
        <w:ind w:hanging="540"/>
        <w:rPr>
          <w:szCs w:val="24"/>
        </w:rPr>
      </w:pPr>
      <w:r>
        <w:rPr>
          <w:szCs w:val="24"/>
        </w:rPr>
        <w:t>Annual ARR Allocation Process;</w:t>
      </w:r>
    </w:p>
    <w:p w:rsidR="00936B11" w:rsidRDefault="00936B11" w:rsidP="00936B11">
      <w:pPr>
        <w:pStyle w:val="ParaText"/>
        <w:numPr>
          <w:ilvl w:val="0"/>
          <w:numId w:val="36"/>
        </w:numPr>
        <w:spacing w:before="120"/>
        <w:ind w:hanging="540"/>
        <w:rPr>
          <w:szCs w:val="24"/>
        </w:rPr>
      </w:pPr>
      <w:r>
        <w:rPr>
          <w:szCs w:val="24"/>
        </w:rPr>
        <w:t>Annual TCR Auction Process;</w:t>
      </w:r>
    </w:p>
    <w:p w:rsidR="00936B11" w:rsidRDefault="00936B11" w:rsidP="00936B11">
      <w:pPr>
        <w:pStyle w:val="ParaText"/>
        <w:numPr>
          <w:ilvl w:val="0"/>
          <w:numId w:val="36"/>
        </w:numPr>
        <w:spacing w:before="120"/>
        <w:ind w:hanging="540"/>
        <w:rPr>
          <w:szCs w:val="24"/>
        </w:rPr>
      </w:pPr>
      <w:r>
        <w:rPr>
          <w:szCs w:val="24"/>
        </w:rPr>
        <w:t>Monthly ARR Allocation Process;</w:t>
      </w:r>
    </w:p>
    <w:p w:rsidR="00936B11" w:rsidRDefault="00936B11" w:rsidP="00936B11">
      <w:pPr>
        <w:pStyle w:val="ParaText"/>
        <w:numPr>
          <w:ilvl w:val="0"/>
          <w:numId w:val="36"/>
        </w:numPr>
        <w:spacing w:before="120"/>
        <w:ind w:hanging="540"/>
        <w:rPr>
          <w:szCs w:val="24"/>
        </w:rPr>
      </w:pPr>
      <w:r>
        <w:rPr>
          <w:szCs w:val="24"/>
        </w:rPr>
        <w:t xml:space="preserve">Monthly TCR Auction Process; </w:t>
      </w:r>
    </w:p>
    <w:p w:rsidR="00936B11" w:rsidRDefault="00936B11" w:rsidP="00936B11">
      <w:pPr>
        <w:pStyle w:val="ParaText"/>
        <w:numPr>
          <w:ilvl w:val="0"/>
          <w:numId w:val="36"/>
        </w:numPr>
        <w:spacing w:before="120"/>
        <w:ind w:hanging="540"/>
        <w:rPr>
          <w:szCs w:val="24"/>
        </w:rPr>
      </w:pPr>
      <w:r>
        <w:rPr>
          <w:szCs w:val="24"/>
        </w:rPr>
        <w:t>ARR Allocation and TCR Auction Settlements; and</w:t>
      </w:r>
    </w:p>
    <w:p w:rsidR="00936B11" w:rsidRDefault="00936B11" w:rsidP="00936B11">
      <w:pPr>
        <w:pStyle w:val="ParaText"/>
        <w:numPr>
          <w:ilvl w:val="0"/>
          <w:numId w:val="36"/>
        </w:numPr>
        <w:spacing w:before="120"/>
        <w:ind w:hanging="540"/>
        <w:rPr>
          <w:szCs w:val="24"/>
        </w:rPr>
      </w:pPr>
      <w:r>
        <w:rPr>
          <w:szCs w:val="24"/>
        </w:rPr>
        <w:t>TCR Secondary Markets.</w:t>
      </w:r>
    </w:p>
    <w:p w:rsidR="00936B11" w:rsidRDefault="00936B11" w:rsidP="00936B11">
      <w:pPr>
        <w:pStyle w:val="ParaText"/>
        <w:spacing w:before="120"/>
        <w:rPr>
          <w:szCs w:val="24"/>
        </w:rPr>
      </w:pPr>
      <w:r>
        <w:rPr>
          <w:szCs w:val="24"/>
        </w:rPr>
        <w:t xml:space="preserve">Exhibit 5-1 provides an overall representative timeline related to the </w:t>
      </w:r>
      <w:commentRangeStart w:id="97"/>
      <w:r w:rsidRPr="001254EA">
        <w:t xml:space="preserve">LTCR Allocation, </w:t>
      </w:r>
      <w:commentRangeEnd w:id="97"/>
      <w:r>
        <w:rPr>
          <w:rStyle w:val="CommentReference"/>
        </w:rPr>
        <w:commentReference w:id="97"/>
      </w:r>
      <w:r>
        <w:rPr>
          <w:szCs w:val="24"/>
        </w:rPr>
        <w:t xml:space="preserve">ARR Allocation and TCR Auction processes and Exhibit 5-2 provides additional details related to auction timing and available transmission system capability of the TCR Auction processes.   </w:t>
      </w:r>
    </w:p>
    <w:p w:rsidR="00936B11" w:rsidRDefault="00936B11" w:rsidP="00936B11">
      <w:pPr>
        <w:jc w:val="center"/>
        <w:rPr>
          <w:b/>
        </w:rPr>
      </w:pPr>
      <w:bookmarkStart w:id="98" w:name="_Toc381018427"/>
      <w:bookmarkStart w:id="99" w:name="OLE_LINK242"/>
      <w:bookmarkStart w:id="100" w:name="OLE_LINK243"/>
    </w:p>
    <w:p w:rsidR="00936B11" w:rsidRDefault="00936B11" w:rsidP="00936B11">
      <w:pPr>
        <w:jc w:val="center"/>
        <w:rPr>
          <w:b/>
        </w:rPr>
      </w:pPr>
    </w:p>
    <w:p w:rsidR="00936B11" w:rsidRDefault="00936B11" w:rsidP="00936B11">
      <w:pPr>
        <w:jc w:val="center"/>
        <w:rPr>
          <w:b/>
        </w:rPr>
      </w:pPr>
    </w:p>
    <w:p w:rsidR="00936B11" w:rsidRDefault="00936B11" w:rsidP="00936B11">
      <w:pPr>
        <w:jc w:val="center"/>
        <w:rPr>
          <w:b/>
        </w:rPr>
      </w:pPr>
      <w:r>
        <w:rPr>
          <w:b/>
        </w:rPr>
        <w:t xml:space="preserve">Exhibit </w:t>
      </w:r>
      <w:r>
        <w:fldChar w:fldCharType="begin"/>
      </w:r>
      <w:r>
        <w:rPr>
          <w:b/>
        </w:rPr>
        <w:instrText xml:space="preserve"> STYLEREF 1 \s </w:instrText>
      </w:r>
      <w:r>
        <w:fldChar w:fldCharType="separate"/>
      </w:r>
      <w:r>
        <w:rPr>
          <w:b/>
          <w:noProof/>
        </w:rPr>
        <w:t>5</w:t>
      </w:r>
      <w:r>
        <w:fldChar w:fldCharType="end"/>
      </w:r>
      <w:r>
        <w:rPr>
          <w:b/>
        </w:rPr>
        <w:noBreakHyphen/>
      </w:r>
      <w:r>
        <w:fldChar w:fldCharType="begin"/>
      </w:r>
      <w:r>
        <w:rPr>
          <w:b/>
        </w:rPr>
        <w:instrText xml:space="preserve"> SEQ Exhibit \* ARABIC \s 1 </w:instrText>
      </w:r>
      <w:r>
        <w:fldChar w:fldCharType="separate"/>
      </w:r>
      <w:r>
        <w:rPr>
          <w:b/>
          <w:noProof/>
        </w:rPr>
        <w:t>1</w:t>
      </w:r>
      <w:r>
        <w:fldChar w:fldCharType="end"/>
      </w:r>
      <w:r>
        <w:rPr>
          <w:b/>
        </w:rPr>
        <w:t xml:space="preserve">: </w:t>
      </w:r>
      <w:commentRangeStart w:id="101"/>
      <w:r w:rsidRPr="001254EA">
        <w:rPr>
          <w:b/>
        </w:rPr>
        <w:t>LTCR/</w:t>
      </w:r>
      <w:commentRangeEnd w:id="101"/>
      <w:r>
        <w:rPr>
          <w:rStyle w:val="CommentReference"/>
        </w:rPr>
        <w:commentReference w:id="101"/>
      </w:r>
      <w:r>
        <w:rPr>
          <w:b/>
        </w:rPr>
        <w:t>ARR Allocation</w:t>
      </w:r>
      <w:commentRangeStart w:id="102"/>
      <w:r w:rsidRPr="001254EA">
        <w:rPr>
          <w:b/>
        </w:rPr>
        <w:t xml:space="preserve"> and </w:t>
      </w:r>
      <w:commentRangeEnd w:id="102"/>
      <w:r>
        <w:rPr>
          <w:rStyle w:val="CommentReference"/>
        </w:rPr>
        <w:commentReference w:id="102"/>
      </w:r>
      <w:r>
        <w:rPr>
          <w:b/>
        </w:rPr>
        <w:t>TCR Auction Processes Timeline</w:t>
      </w:r>
      <w:bookmarkEnd w:id="98"/>
    </w:p>
    <w:bookmarkEnd w:id="99"/>
    <w:bookmarkEnd w:id="100"/>
    <w:p w:rsidR="00936B11" w:rsidRDefault="00936B11" w:rsidP="00936B11">
      <w:pPr>
        <w:pStyle w:val="ParaText"/>
        <w:spacing w:before="120"/>
        <w:rPr>
          <w:szCs w:val="24"/>
        </w:rPr>
      </w:pPr>
    </w:p>
    <w:p w:rsidR="00936B11" w:rsidRDefault="00936B11" w:rsidP="00936B11">
      <w:r>
        <w:object w:dxaOrig="16066" w:dyaOrig="9115">
          <v:shape id="_x0000_i1026" type="#_x0000_t75" style="width:467.5pt;height:265.7pt" o:ole="">
            <v:imagedata r:id="rId16" o:title=""/>
          </v:shape>
          <o:OLEObject Type="Embed" ProgID="Visio.Drawing.11" ShapeID="_x0000_i1026" DrawAspect="Content" ObjectID="_1456148933" r:id="rId17"/>
        </w:object>
      </w:r>
    </w:p>
    <w:p w:rsidR="00936B11" w:rsidRDefault="00936B11" w:rsidP="00936B11"/>
    <w:p w:rsidR="00936B11" w:rsidRDefault="00936B11" w:rsidP="00936B11">
      <w:pPr>
        <w:sectPr w:rsidR="00936B11" w:rsidSect="0006281B">
          <w:footerReference w:type="default" r:id="rId18"/>
          <w:pgSz w:w="12240" w:h="15840"/>
          <w:pgMar w:top="1728" w:right="1440" w:bottom="1728" w:left="1440" w:header="720" w:footer="720" w:gutter="0"/>
          <w:cols w:space="720"/>
        </w:sectPr>
      </w:pPr>
    </w:p>
    <w:p w:rsidR="00936B11" w:rsidRPr="003D416D" w:rsidRDefault="00936B11" w:rsidP="00936B11">
      <w:pPr>
        <w:jc w:val="center"/>
        <w:rPr>
          <w:b/>
        </w:rPr>
      </w:pPr>
      <w:bookmarkStart w:id="103" w:name="_Toc381018428"/>
      <w:bookmarkStart w:id="104" w:name="OLE_LINK229"/>
      <w:bookmarkStart w:id="105" w:name="OLE_LINK230"/>
      <w:r w:rsidRPr="003D416D">
        <w:rPr>
          <w:b/>
        </w:rPr>
        <w:lastRenderedPageBreak/>
        <w:t xml:space="preserve">Exhibit </w:t>
      </w:r>
      <w:r w:rsidRPr="003D416D">
        <w:rPr>
          <w:b/>
        </w:rPr>
        <w:fldChar w:fldCharType="begin"/>
      </w:r>
      <w:r w:rsidRPr="003D416D">
        <w:rPr>
          <w:b/>
        </w:rPr>
        <w:instrText xml:space="preserve"> STYLEREF 1 \s </w:instrText>
      </w:r>
      <w:r w:rsidRPr="003D416D">
        <w:rPr>
          <w:b/>
        </w:rPr>
        <w:fldChar w:fldCharType="separate"/>
      </w:r>
      <w:r>
        <w:rPr>
          <w:b/>
          <w:noProof/>
        </w:rPr>
        <w:t>5</w:t>
      </w:r>
      <w:r w:rsidRPr="003D416D">
        <w:rPr>
          <w:b/>
        </w:rPr>
        <w:fldChar w:fldCharType="end"/>
      </w:r>
      <w:r w:rsidRPr="003D416D">
        <w:rPr>
          <w:b/>
        </w:rPr>
        <w:noBreakHyphen/>
      </w:r>
      <w:r w:rsidRPr="003D416D">
        <w:rPr>
          <w:b/>
        </w:rPr>
        <w:fldChar w:fldCharType="begin"/>
      </w:r>
      <w:r w:rsidRPr="003D416D">
        <w:rPr>
          <w:b/>
        </w:rPr>
        <w:instrText xml:space="preserve"> SEQ Exhibit \* ARABIC \s 1 </w:instrText>
      </w:r>
      <w:r w:rsidRPr="003D416D">
        <w:rPr>
          <w:b/>
        </w:rPr>
        <w:fldChar w:fldCharType="separate"/>
      </w:r>
      <w:r>
        <w:rPr>
          <w:b/>
          <w:noProof/>
        </w:rPr>
        <w:t>2</w:t>
      </w:r>
      <w:r w:rsidRPr="003D416D">
        <w:rPr>
          <w:b/>
        </w:rPr>
        <w:fldChar w:fldCharType="end"/>
      </w:r>
      <w:r w:rsidRPr="003D416D">
        <w:rPr>
          <w:b/>
        </w:rPr>
        <w:t xml:space="preserve">: </w:t>
      </w:r>
      <w:r>
        <w:rPr>
          <w:b/>
        </w:rPr>
        <w:t>TCR Auction</w:t>
      </w:r>
      <w:r w:rsidRPr="003D416D">
        <w:rPr>
          <w:b/>
        </w:rPr>
        <w:t xml:space="preserve"> Processes </w:t>
      </w:r>
      <w:r>
        <w:rPr>
          <w:b/>
        </w:rPr>
        <w:t>Summary</w:t>
      </w:r>
      <w:bookmarkEnd w:id="103"/>
    </w:p>
    <w:tbl>
      <w:tblPr>
        <w:tblStyle w:val="TableGrid"/>
        <w:tblpPr w:leftFromText="180" w:rightFromText="180" w:vertAnchor="page" w:horzAnchor="margin" w:tblpY="2571"/>
        <w:tblW w:w="0" w:type="auto"/>
        <w:tblLook w:val="01E0" w:firstRow="1" w:lastRow="1" w:firstColumn="1" w:lastColumn="1" w:noHBand="0" w:noVBand="0"/>
      </w:tblPr>
      <w:tblGrid>
        <w:gridCol w:w="1272"/>
        <w:gridCol w:w="1163"/>
        <w:gridCol w:w="915"/>
        <w:gridCol w:w="914"/>
        <w:gridCol w:w="950"/>
        <w:gridCol w:w="934"/>
        <w:gridCol w:w="934"/>
        <w:gridCol w:w="950"/>
        <w:gridCol w:w="934"/>
        <w:gridCol w:w="1308"/>
        <w:gridCol w:w="1174"/>
        <w:gridCol w:w="1152"/>
      </w:tblGrid>
      <w:tr w:rsidR="00936B11" w:rsidRPr="00721936" w:rsidTr="0006281B">
        <w:tc>
          <w:tcPr>
            <w:tcW w:w="1272" w:type="dxa"/>
            <w:tcBorders>
              <w:top w:val="single" w:sz="4" w:space="0" w:color="auto"/>
              <w:left w:val="single" w:sz="4" w:space="0" w:color="auto"/>
              <w:bottom w:val="single" w:sz="4" w:space="0" w:color="auto"/>
              <w:right w:val="single" w:sz="4" w:space="0" w:color="auto"/>
            </w:tcBorders>
            <w:shd w:val="clear" w:color="auto" w:fill="E6E6E6"/>
            <w:hideMark/>
          </w:tcPr>
          <w:bookmarkEnd w:id="104"/>
          <w:bookmarkEnd w:id="105"/>
          <w:p w:rsidR="00936B11" w:rsidRPr="00721936" w:rsidRDefault="00936B11" w:rsidP="0006281B">
            <w:pPr>
              <w:pStyle w:val="Caption"/>
            </w:pPr>
            <w:r w:rsidRPr="00721936">
              <w:t>Auction Month</w:t>
            </w:r>
          </w:p>
        </w:tc>
        <w:tc>
          <w:tcPr>
            <w:tcW w:w="1163" w:type="dxa"/>
            <w:tcBorders>
              <w:top w:val="single" w:sz="4" w:space="0" w:color="auto"/>
              <w:left w:val="single" w:sz="4" w:space="0" w:color="auto"/>
              <w:bottom w:val="single" w:sz="4" w:space="0" w:color="auto"/>
              <w:right w:val="single" w:sz="4" w:space="0" w:color="auto"/>
            </w:tcBorders>
            <w:shd w:val="clear" w:color="auto" w:fill="E6E6E6"/>
            <w:hideMark/>
          </w:tcPr>
          <w:p w:rsidR="00936B11" w:rsidRPr="00721936" w:rsidRDefault="00936B11" w:rsidP="0006281B">
            <w:pPr>
              <w:pStyle w:val="Caption"/>
            </w:pPr>
            <w:r w:rsidRPr="00721936">
              <w:t>Auction Type</w:t>
            </w:r>
          </w:p>
        </w:tc>
        <w:tc>
          <w:tcPr>
            <w:tcW w:w="6531" w:type="dxa"/>
            <w:gridSpan w:val="7"/>
            <w:tcBorders>
              <w:top w:val="single" w:sz="4" w:space="0" w:color="auto"/>
              <w:left w:val="single" w:sz="4" w:space="0" w:color="auto"/>
              <w:bottom w:val="single" w:sz="4" w:space="0" w:color="auto"/>
              <w:right w:val="single" w:sz="4" w:space="0" w:color="auto"/>
            </w:tcBorders>
            <w:shd w:val="clear" w:color="auto" w:fill="E6E6E6"/>
            <w:hideMark/>
          </w:tcPr>
          <w:p w:rsidR="00936B11" w:rsidRPr="00721936" w:rsidRDefault="00936B11" w:rsidP="0006281B">
            <w:pPr>
              <w:pStyle w:val="Caption"/>
            </w:pPr>
            <w:r w:rsidRPr="00721936">
              <w:t>TCR Award Periods</w:t>
            </w:r>
          </w:p>
        </w:tc>
        <w:tc>
          <w:tcPr>
            <w:tcW w:w="1308" w:type="dxa"/>
            <w:tcBorders>
              <w:top w:val="single" w:sz="4" w:space="0" w:color="auto"/>
              <w:left w:val="single" w:sz="4" w:space="0" w:color="auto"/>
              <w:bottom w:val="single" w:sz="4" w:space="0" w:color="auto"/>
              <w:right w:val="single" w:sz="4" w:space="0" w:color="auto"/>
            </w:tcBorders>
            <w:shd w:val="clear" w:color="auto" w:fill="E6E6E6"/>
            <w:hideMark/>
          </w:tcPr>
          <w:p w:rsidR="00936B11" w:rsidRPr="00721936" w:rsidRDefault="00936B11" w:rsidP="0006281B">
            <w:pPr>
              <w:pStyle w:val="Caption"/>
            </w:pPr>
            <w:r w:rsidRPr="00721936">
              <w:t>TCR</w:t>
            </w:r>
          </w:p>
          <w:p w:rsidR="00936B11" w:rsidRPr="00721936" w:rsidRDefault="00936B11" w:rsidP="0006281B">
            <w:pPr>
              <w:pStyle w:val="Caption"/>
            </w:pPr>
            <w:r w:rsidRPr="00721936">
              <w:t>Products</w:t>
            </w:r>
          </w:p>
        </w:tc>
        <w:tc>
          <w:tcPr>
            <w:tcW w:w="1174" w:type="dxa"/>
            <w:tcBorders>
              <w:top w:val="single" w:sz="4" w:space="0" w:color="auto"/>
              <w:left w:val="single" w:sz="4" w:space="0" w:color="auto"/>
              <w:bottom w:val="single" w:sz="4" w:space="0" w:color="auto"/>
              <w:right w:val="single" w:sz="4" w:space="0" w:color="auto"/>
            </w:tcBorders>
            <w:shd w:val="clear" w:color="auto" w:fill="E6E6E6"/>
            <w:hideMark/>
          </w:tcPr>
          <w:p w:rsidR="00936B11" w:rsidRPr="00721936" w:rsidRDefault="00936B11" w:rsidP="0006281B">
            <w:pPr>
              <w:pStyle w:val="Caption"/>
            </w:pPr>
            <w:r w:rsidRPr="00721936">
              <w:t>Auction Rounds</w:t>
            </w:r>
          </w:p>
        </w:tc>
        <w:tc>
          <w:tcPr>
            <w:tcW w:w="1152" w:type="dxa"/>
            <w:tcBorders>
              <w:top w:val="single" w:sz="4" w:space="0" w:color="auto"/>
              <w:left w:val="single" w:sz="4" w:space="0" w:color="auto"/>
              <w:bottom w:val="single" w:sz="4" w:space="0" w:color="auto"/>
              <w:right w:val="single" w:sz="4" w:space="0" w:color="auto"/>
            </w:tcBorders>
            <w:shd w:val="clear" w:color="auto" w:fill="E6E6E6"/>
            <w:hideMark/>
          </w:tcPr>
          <w:p w:rsidR="00936B11" w:rsidRPr="00721936" w:rsidRDefault="00936B11" w:rsidP="0006281B">
            <w:pPr>
              <w:pStyle w:val="Caption"/>
            </w:pPr>
            <w:r w:rsidRPr="00721936">
              <w:t>Total Auctions</w:t>
            </w:r>
          </w:p>
        </w:tc>
      </w:tr>
      <w:tr w:rsidR="00936B11" w:rsidRPr="00721936" w:rsidTr="0006281B">
        <w:tc>
          <w:tcPr>
            <w:tcW w:w="2435" w:type="dxa"/>
            <w:gridSpan w:val="2"/>
            <w:tcBorders>
              <w:top w:val="single" w:sz="4" w:space="0" w:color="auto"/>
              <w:left w:val="single" w:sz="4" w:space="0" w:color="auto"/>
              <w:bottom w:val="single" w:sz="4" w:space="0" w:color="auto"/>
              <w:right w:val="single" w:sz="4" w:space="0" w:color="auto"/>
            </w:tcBorders>
            <w:hideMark/>
          </w:tcPr>
          <w:p w:rsidR="00936B11" w:rsidRPr="00AB791C" w:rsidRDefault="00936B11" w:rsidP="0006281B">
            <w:pPr>
              <w:pStyle w:val="Caption"/>
            </w:pPr>
            <w:r w:rsidRPr="00AB791C">
              <w:t xml:space="preserve">   May         Annual</w:t>
            </w:r>
          </w:p>
          <w:p w:rsidR="00936B11" w:rsidRPr="00721936" w:rsidRDefault="00936B11" w:rsidP="0006281B">
            <w:pPr>
              <w:rPr>
                <w:b/>
                <w:sz w:val="20"/>
              </w:rPr>
            </w:pPr>
            <w:r w:rsidRPr="00721936">
              <w:rPr>
                <w:b/>
                <w:sz w:val="20"/>
              </w:rPr>
              <w:t xml:space="preserve"> (System Capability %)</w:t>
            </w:r>
          </w:p>
        </w:tc>
        <w:tc>
          <w:tcPr>
            <w:tcW w:w="915"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Jun</w:t>
            </w:r>
          </w:p>
          <w:p w:rsidR="00936B11" w:rsidRPr="00721936" w:rsidRDefault="00936B11" w:rsidP="0006281B">
            <w:pPr>
              <w:tabs>
                <w:tab w:val="center" w:pos="349"/>
              </w:tabs>
              <w:jc w:val="center"/>
              <w:rPr>
                <w:b/>
                <w:sz w:val="20"/>
              </w:rPr>
            </w:pPr>
            <w:r w:rsidRPr="00721936">
              <w:rPr>
                <w:b/>
                <w:sz w:val="20"/>
              </w:rPr>
              <w:t>(</w:t>
            </w:r>
            <w:r>
              <w:rPr>
                <w:b/>
                <w:sz w:val="20"/>
              </w:rPr>
              <w:t>10</w:t>
            </w:r>
            <w:r w:rsidRPr="00721936">
              <w:rPr>
                <w:b/>
                <w:sz w:val="20"/>
              </w:rPr>
              <w:t>0)</w:t>
            </w:r>
          </w:p>
        </w:tc>
        <w:tc>
          <w:tcPr>
            <w:tcW w:w="914"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Jul</w:t>
            </w:r>
          </w:p>
          <w:p w:rsidR="00936B11" w:rsidRPr="00721936" w:rsidRDefault="00936B11" w:rsidP="0006281B">
            <w:pPr>
              <w:jc w:val="center"/>
              <w:rPr>
                <w:b/>
                <w:sz w:val="20"/>
              </w:rPr>
            </w:pPr>
            <w:r w:rsidRPr="00721936">
              <w:rPr>
                <w:b/>
                <w:sz w:val="20"/>
              </w:rPr>
              <w:t>(90)</w:t>
            </w:r>
          </w:p>
        </w:tc>
        <w:tc>
          <w:tcPr>
            <w:tcW w:w="950"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Aug</w:t>
            </w:r>
          </w:p>
          <w:p w:rsidR="00936B11" w:rsidRPr="00721936" w:rsidRDefault="00936B11" w:rsidP="0006281B">
            <w:pPr>
              <w:jc w:val="center"/>
              <w:rPr>
                <w:b/>
                <w:sz w:val="20"/>
              </w:rPr>
            </w:pPr>
            <w:r w:rsidRPr="00721936">
              <w:rPr>
                <w:b/>
                <w:sz w:val="20"/>
              </w:rPr>
              <w:t>(90)</w:t>
            </w:r>
          </w:p>
        </w:tc>
        <w:tc>
          <w:tcPr>
            <w:tcW w:w="934"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Sep</w:t>
            </w:r>
          </w:p>
          <w:p w:rsidR="00936B11" w:rsidRPr="00721936" w:rsidRDefault="00936B11" w:rsidP="0006281B">
            <w:pPr>
              <w:jc w:val="center"/>
              <w:rPr>
                <w:b/>
                <w:sz w:val="20"/>
              </w:rPr>
            </w:pPr>
            <w:r w:rsidRPr="00721936">
              <w:rPr>
                <w:b/>
                <w:sz w:val="20"/>
              </w:rPr>
              <w:t>(90)</w:t>
            </w:r>
          </w:p>
        </w:tc>
        <w:tc>
          <w:tcPr>
            <w:tcW w:w="934"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Fall</w:t>
            </w:r>
            <w:r>
              <w:rPr>
                <w:rStyle w:val="FootnoteReference"/>
              </w:rPr>
              <w:footnoteReference w:id="2"/>
            </w:r>
          </w:p>
          <w:p w:rsidR="00936B11" w:rsidRPr="00281653" w:rsidRDefault="00936B11" w:rsidP="0006281B">
            <w:pPr>
              <w:pStyle w:val="Caption"/>
            </w:pPr>
            <w:r w:rsidRPr="00281653">
              <w:t xml:space="preserve">(60) </w:t>
            </w:r>
          </w:p>
        </w:tc>
        <w:tc>
          <w:tcPr>
            <w:tcW w:w="950"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Winter</w:t>
            </w:r>
            <w:r>
              <w:rPr>
                <w:rStyle w:val="FootnoteReference"/>
              </w:rPr>
              <w:footnoteReference w:id="3"/>
            </w:r>
          </w:p>
          <w:p w:rsidR="00936B11" w:rsidRPr="00721936" w:rsidRDefault="00936B11" w:rsidP="0006281B">
            <w:pPr>
              <w:jc w:val="center"/>
              <w:rPr>
                <w:b/>
                <w:sz w:val="20"/>
              </w:rPr>
            </w:pPr>
            <w:r w:rsidRPr="00721936">
              <w:rPr>
                <w:b/>
                <w:sz w:val="20"/>
              </w:rPr>
              <w:t>(60)</w:t>
            </w:r>
          </w:p>
        </w:tc>
        <w:tc>
          <w:tcPr>
            <w:tcW w:w="934"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Spring</w:t>
            </w:r>
            <w:r>
              <w:rPr>
                <w:rStyle w:val="FootnoteReference"/>
              </w:rPr>
              <w:footnoteReference w:id="4"/>
            </w:r>
          </w:p>
          <w:p w:rsidR="00936B11" w:rsidRPr="00721936" w:rsidRDefault="00936B11" w:rsidP="0006281B">
            <w:pPr>
              <w:jc w:val="center"/>
              <w:rPr>
                <w:sz w:val="20"/>
              </w:rPr>
            </w:pPr>
            <w:r w:rsidRPr="00721936">
              <w:rPr>
                <w:sz w:val="20"/>
              </w:rPr>
              <w:t>(</w:t>
            </w:r>
            <w:r w:rsidRPr="00721936">
              <w:rPr>
                <w:b/>
                <w:sz w:val="20"/>
              </w:rPr>
              <w:t>60)</w:t>
            </w:r>
          </w:p>
        </w:tc>
        <w:tc>
          <w:tcPr>
            <w:tcW w:w="1308" w:type="dxa"/>
            <w:tcBorders>
              <w:top w:val="single" w:sz="4" w:space="0" w:color="auto"/>
              <w:left w:val="single" w:sz="4" w:space="0" w:color="auto"/>
              <w:bottom w:val="single" w:sz="4" w:space="0" w:color="auto"/>
              <w:right w:val="single" w:sz="4" w:space="0" w:color="auto"/>
            </w:tcBorders>
            <w:hideMark/>
          </w:tcPr>
          <w:p w:rsidR="00936B11" w:rsidRPr="00AB791C" w:rsidRDefault="00936B11" w:rsidP="0006281B">
            <w:pPr>
              <w:pStyle w:val="Caption"/>
            </w:pPr>
            <w:r w:rsidRPr="00AB791C">
              <w:t>On-Peak/</w:t>
            </w:r>
          </w:p>
          <w:p w:rsidR="00936B11" w:rsidRPr="00AB791C" w:rsidRDefault="00936B11" w:rsidP="0006281B">
            <w:pPr>
              <w:pStyle w:val="Caption"/>
            </w:pPr>
            <w:r w:rsidRPr="008D530B">
              <w:t>Off-Peak</w:t>
            </w:r>
          </w:p>
        </w:tc>
        <w:tc>
          <w:tcPr>
            <w:tcW w:w="1174" w:type="dxa"/>
            <w:tcBorders>
              <w:top w:val="single" w:sz="4" w:space="0" w:color="auto"/>
              <w:left w:val="single" w:sz="4" w:space="0" w:color="auto"/>
              <w:bottom w:val="single" w:sz="4" w:space="0" w:color="auto"/>
              <w:right w:val="single" w:sz="4" w:space="0" w:color="auto"/>
            </w:tcBorders>
            <w:hideMark/>
          </w:tcPr>
          <w:p w:rsidR="00936B11" w:rsidRPr="00281653" w:rsidRDefault="00936B11" w:rsidP="0006281B">
            <w:pPr>
              <w:pStyle w:val="Caption"/>
            </w:pPr>
            <w:r w:rsidRPr="00281653">
              <w:t xml:space="preserve">1 </w:t>
            </w:r>
          </w:p>
          <w:p w:rsidR="00936B11" w:rsidRPr="00721936" w:rsidRDefault="00936B11" w:rsidP="0006281B">
            <w:pPr>
              <w:pStyle w:val="Caption"/>
            </w:pPr>
          </w:p>
        </w:tc>
        <w:tc>
          <w:tcPr>
            <w:tcW w:w="1152" w:type="dxa"/>
            <w:tcBorders>
              <w:top w:val="single" w:sz="4" w:space="0" w:color="auto"/>
              <w:left w:val="single" w:sz="4" w:space="0" w:color="auto"/>
              <w:bottom w:val="single" w:sz="4" w:space="0" w:color="auto"/>
              <w:right w:val="single" w:sz="4" w:space="0" w:color="auto"/>
            </w:tcBorders>
            <w:hideMark/>
          </w:tcPr>
          <w:p w:rsidR="00936B11" w:rsidRDefault="00936B11" w:rsidP="0006281B">
            <w:pPr>
              <w:pStyle w:val="Caption"/>
            </w:pPr>
            <w:r w:rsidRPr="00721936">
              <w:t>1</w:t>
            </w:r>
            <w:r>
              <w:t>4</w:t>
            </w:r>
          </w:p>
        </w:tc>
      </w:tr>
      <w:tr w:rsidR="00936B11" w:rsidRPr="00721936" w:rsidTr="0006281B">
        <w:tc>
          <w:tcPr>
            <w:tcW w:w="2435" w:type="dxa"/>
            <w:gridSpan w:val="2"/>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 xml:space="preserve">    Jun         Monthly</w:t>
            </w:r>
          </w:p>
          <w:p w:rsidR="00936B11" w:rsidRPr="00721936" w:rsidRDefault="00936B11" w:rsidP="0006281B">
            <w:pPr>
              <w:rPr>
                <w:sz w:val="20"/>
              </w:rPr>
            </w:pPr>
            <w:r w:rsidRPr="00721936">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Jul</w:t>
            </w:r>
          </w:p>
          <w:p w:rsidR="00936B11" w:rsidRPr="00721936" w:rsidRDefault="00936B11" w:rsidP="0006281B">
            <w:pPr>
              <w:jc w:val="center"/>
              <w:rPr>
                <w:b/>
                <w:sz w:val="20"/>
              </w:rPr>
            </w:pPr>
            <w:r w:rsidRPr="00721936">
              <w:rPr>
                <w:b/>
                <w:sz w:val="20"/>
              </w:rPr>
              <w:t>(100)</w:t>
            </w:r>
          </w:p>
        </w:tc>
        <w:tc>
          <w:tcPr>
            <w:tcW w:w="91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50"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50"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936B11" w:rsidRPr="00AB791C" w:rsidRDefault="00936B11" w:rsidP="0006281B">
            <w:pPr>
              <w:pStyle w:val="Caption"/>
            </w:pPr>
            <w:r w:rsidRPr="00AB791C">
              <w:t>On-Peak/</w:t>
            </w:r>
          </w:p>
          <w:p w:rsidR="00936B11" w:rsidRPr="00AB791C" w:rsidRDefault="00936B11" w:rsidP="0006281B">
            <w:pPr>
              <w:pStyle w:val="Caption"/>
            </w:pPr>
            <w:r w:rsidRPr="008D530B">
              <w:t>Off-Peak</w:t>
            </w:r>
          </w:p>
        </w:tc>
        <w:tc>
          <w:tcPr>
            <w:tcW w:w="1174"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1</w:t>
            </w:r>
          </w:p>
        </w:tc>
        <w:tc>
          <w:tcPr>
            <w:tcW w:w="1152"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2</w:t>
            </w:r>
          </w:p>
        </w:tc>
      </w:tr>
      <w:tr w:rsidR="00936B11" w:rsidRPr="00721936" w:rsidTr="0006281B">
        <w:tc>
          <w:tcPr>
            <w:tcW w:w="2435" w:type="dxa"/>
            <w:gridSpan w:val="2"/>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 xml:space="preserve">    Jul         Monthly</w:t>
            </w:r>
          </w:p>
          <w:p w:rsidR="00936B11" w:rsidRPr="00721936" w:rsidRDefault="00936B11" w:rsidP="0006281B">
            <w:pPr>
              <w:rPr>
                <w:sz w:val="20"/>
              </w:rPr>
            </w:pPr>
            <w:r w:rsidRPr="00721936">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Aug</w:t>
            </w:r>
          </w:p>
          <w:p w:rsidR="00936B11" w:rsidRPr="00721936" w:rsidRDefault="00936B11" w:rsidP="0006281B">
            <w:pPr>
              <w:jc w:val="center"/>
              <w:rPr>
                <w:b/>
                <w:sz w:val="20"/>
              </w:rPr>
            </w:pPr>
            <w:r w:rsidRPr="00721936">
              <w:rPr>
                <w:b/>
                <w:sz w:val="20"/>
              </w:rPr>
              <w:t>(100)</w:t>
            </w:r>
          </w:p>
        </w:tc>
        <w:tc>
          <w:tcPr>
            <w:tcW w:w="91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50"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50"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936B11" w:rsidRPr="00AB791C" w:rsidRDefault="00936B11" w:rsidP="0006281B">
            <w:pPr>
              <w:pStyle w:val="Caption"/>
            </w:pPr>
            <w:r w:rsidRPr="00AB791C">
              <w:t>On-Peak/</w:t>
            </w:r>
          </w:p>
          <w:p w:rsidR="00936B11" w:rsidRPr="00AB791C" w:rsidRDefault="00936B11" w:rsidP="0006281B">
            <w:pPr>
              <w:pStyle w:val="Caption"/>
            </w:pPr>
            <w:r w:rsidRPr="008D530B">
              <w:t>Off-Peak</w:t>
            </w:r>
          </w:p>
        </w:tc>
        <w:tc>
          <w:tcPr>
            <w:tcW w:w="1174"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1</w:t>
            </w:r>
          </w:p>
        </w:tc>
        <w:tc>
          <w:tcPr>
            <w:tcW w:w="1152"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2</w:t>
            </w:r>
          </w:p>
        </w:tc>
      </w:tr>
      <w:tr w:rsidR="00936B11" w:rsidRPr="00721936" w:rsidTr="0006281B">
        <w:tc>
          <w:tcPr>
            <w:tcW w:w="2435" w:type="dxa"/>
            <w:gridSpan w:val="2"/>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 xml:space="preserve">    Aug         Monthly</w:t>
            </w:r>
          </w:p>
          <w:p w:rsidR="00936B11" w:rsidRPr="00721936" w:rsidRDefault="00936B11" w:rsidP="0006281B">
            <w:pPr>
              <w:rPr>
                <w:sz w:val="20"/>
              </w:rPr>
            </w:pPr>
            <w:r w:rsidRPr="00721936">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Sep</w:t>
            </w:r>
          </w:p>
          <w:p w:rsidR="00936B11" w:rsidRPr="00721936" w:rsidRDefault="00936B11" w:rsidP="0006281B">
            <w:pPr>
              <w:jc w:val="center"/>
              <w:rPr>
                <w:b/>
                <w:sz w:val="20"/>
              </w:rPr>
            </w:pPr>
            <w:r w:rsidRPr="00721936">
              <w:rPr>
                <w:b/>
                <w:sz w:val="20"/>
              </w:rPr>
              <w:t>(100)</w:t>
            </w:r>
          </w:p>
        </w:tc>
        <w:tc>
          <w:tcPr>
            <w:tcW w:w="91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50"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50"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936B11" w:rsidRPr="00AB791C" w:rsidRDefault="00936B11" w:rsidP="0006281B">
            <w:pPr>
              <w:pStyle w:val="Caption"/>
            </w:pPr>
            <w:r w:rsidRPr="00AB791C">
              <w:t>On-Peak/</w:t>
            </w:r>
          </w:p>
          <w:p w:rsidR="00936B11" w:rsidRPr="00AB791C" w:rsidRDefault="00936B11" w:rsidP="0006281B">
            <w:pPr>
              <w:pStyle w:val="Caption"/>
            </w:pPr>
            <w:r w:rsidRPr="008D530B">
              <w:t>Off-Peak</w:t>
            </w:r>
          </w:p>
        </w:tc>
        <w:tc>
          <w:tcPr>
            <w:tcW w:w="1174"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1</w:t>
            </w:r>
          </w:p>
        </w:tc>
        <w:tc>
          <w:tcPr>
            <w:tcW w:w="1152"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2</w:t>
            </w:r>
          </w:p>
        </w:tc>
      </w:tr>
      <w:tr w:rsidR="00936B11" w:rsidRPr="00721936" w:rsidTr="0006281B">
        <w:tc>
          <w:tcPr>
            <w:tcW w:w="2435" w:type="dxa"/>
            <w:gridSpan w:val="2"/>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 xml:space="preserve">    Sep         Monthly</w:t>
            </w:r>
          </w:p>
          <w:p w:rsidR="00936B11" w:rsidRPr="00721936" w:rsidRDefault="00936B11" w:rsidP="0006281B">
            <w:pPr>
              <w:rPr>
                <w:sz w:val="20"/>
              </w:rPr>
            </w:pPr>
            <w:r w:rsidRPr="00721936">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Oct</w:t>
            </w:r>
          </w:p>
          <w:p w:rsidR="00936B11" w:rsidRPr="00721936" w:rsidRDefault="00936B11" w:rsidP="0006281B">
            <w:pPr>
              <w:jc w:val="center"/>
              <w:rPr>
                <w:b/>
                <w:sz w:val="20"/>
              </w:rPr>
            </w:pPr>
            <w:r w:rsidRPr="00721936">
              <w:rPr>
                <w:b/>
                <w:sz w:val="20"/>
              </w:rPr>
              <w:t>(100)</w:t>
            </w:r>
          </w:p>
        </w:tc>
        <w:tc>
          <w:tcPr>
            <w:tcW w:w="91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50"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50"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936B11" w:rsidRPr="00AB791C" w:rsidRDefault="00936B11" w:rsidP="0006281B">
            <w:pPr>
              <w:pStyle w:val="Caption"/>
            </w:pPr>
            <w:r w:rsidRPr="00AB791C">
              <w:t>On-Peak/</w:t>
            </w:r>
          </w:p>
          <w:p w:rsidR="00936B11" w:rsidRPr="00AB791C" w:rsidRDefault="00936B11" w:rsidP="0006281B">
            <w:pPr>
              <w:pStyle w:val="Caption"/>
            </w:pPr>
            <w:r w:rsidRPr="008D530B">
              <w:t>Off-Peak</w:t>
            </w:r>
          </w:p>
        </w:tc>
        <w:tc>
          <w:tcPr>
            <w:tcW w:w="1174"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2</w:t>
            </w:r>
          </w:p>
        </w:tc>
        <w:tc>
          <w:tcPr>
            <w:tcW w:w="1152"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4</w:t>
            </w:r>
          </w:p>
        </w:tc>
      </w:tr>
      <w:tr w:rsidR="00936B11" w:rsidRPr="00721936" w:rsidTr="0006281B">
        <w:tc>
          <w:tcPr>
            <w:tcW w:w="2435" w:type="dxa"/>
            <w:gridSpan w:val="2"/>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 xml:space="preserve">    Oct        Monthly</w:t>
            </w:r>
          </w:p>
          <w:p w:rsidR="00936B11" w:rsidRPr="00721936" w:rsidRDefault="00936B11" w:rsidP="0006281B">
            <w:pPr>
              <w:rPr>
                <w:sz w:val="20"/>
              </w:rPr>
            </w:pPr>
            <w:r w:rsidRPr="00721936">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Nov</w:t>
            </w:r>
          </w:p>
          <w:p w:rsidR="00936B11" w:rsidRPr="00721936" w:rsidRDefault="00936B11" w:rsidP="0006281B">
            <w:pPr>
              <w:jc w:val="center"/>
              <w:rPr>
                <w:b/>
                <w:sz w:val="20"/>
              </w:rPr>
            </w:pPr>
            <w:r w:rsidRPr="00721936">
              <w:rPr>
                <w:b/>
                <w:sz w:val="20"/>
              </w:rPr>
              <w:t>(100)</w:t>
            </w:r>
          </w:p>
        </w:tc>
        <w:tc>
          <w:tcPr>
            <w:tcW w:w="91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50"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50"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936B11" w:rsidRPr="00AB791C" w:rsidRDefault="00936B11" w:rsidP="0006281B">
            <w:pPr>
              <w:pStyle w:val="Caption"/>
            </w:pPr>
            <w:r w:rsidRPr="00AB791C">
              <w:t>On-Peak/</w:t>
            </w:r>
          </w:p>
          <w:p w:rsidR="00936B11" w:rsidRPr="00AB791C" w:rsidRDefault="00936B11" w:rsidP="0006281B">
            <w:pPr>
              <w:pStyle w:val="Caption"/>
            </w:pPr>
            <w:r w:rsidRPr="008D530B">
              <w:t>Off-Peak</w:t>
            </w:r>
          </w:p>
        </w:tc>
        <w:tc>
          <w:tcPr>
            <w:tcW w:w="1174"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2</w:t>
            </w:r>
          </w:p>
        </w:tc>
        <w:tc>
          <w:tcPr>
            <w:tcW w:w="1152"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4</w:t>
            </w:r>
          </w:p>
        </w:tc>
      </w:tr>
      <w:tr w:rsidR="00936B11" w:rsidRPr="00721936" w:rsidTr="0006281B">
        <w:tc>
          <w:tcPr>
            <w:tcW w:w="2435" w:type="dxa"/>
            <w:gridSpan w:val="2"/>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 xml:space="preserve">    Nov         Monthly</w:t>
            </w:r>
          </w:p>
          <w:p w:rsidR="00936B11" w:rsidRPr="00721936" w:rsidRDefault="00936B11" w:rsidP="0006281B">
            <w:pPr>
              <w:rPr>
                <w:sz w:val="20"/>
              </w:rPr>
            </w:pPr>
            <w:r w:rsidRPr="00721936">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Dec</w:t>
            </w:r>
          </w:p>
          <w:p w:rsidR="00936B11" w:rsidRPr="00721936" w:rsidRDefault="00936B11" w:rsidP="0006281B">
            <w:pPr>
              <w:jc w:val="center"/>
              <w:rPr>
                <w:b/>
                <w:sz w:val="20"/>
              </w:rPr>
            </w:pPr>
            <w:r w:rsidRPr="00721936">
              <w:rPr>
                <w:b/>
                <w:sz w:val="20"/>
              </w:rPr>
              <w:t>(100)</w:t>
            </w:r>
          </w:p>
        </w:tc>
        <w:tc>
          <w:tcPr>
            <w:tcW w:w="91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50"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50"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936B11" w:rsidRPr="00AB791C" w:rsidRDefault="00936B11" w:rsidP="0006281B">
            <w:pPr>
              <w:pStyle w:val="Caption"/>
            </w:pPr>
            <w:r w:rsidRPr="00AB791C">
              <w:t>On-Peak/</w:t>
            </w:r>
          </w:p>
          <w:p w:rsidR="00936B11" w:rsidRPr="00AB791C" w:rsidRDefault="00936B11" w:rsidP="0006281B">
            <w:pPr>
              <w:pStyle w:val="Caption"/>
            </w:pPr>
            <w:r w:rsidRPr="008D530B">
              <w:t>Off-Peak</w:t>
            </w:r>
          </w:p>
        </w:tc>
        <w:tc>
          <w:tcPr>
            <w:tcW w:w="1174"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2</w:t>
            </w:r>
          </w:p>
        </w:tc>
        <w:tc>
          <w:tcPr>
            <w:tcW w:w="1152"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4</w:t>
            </w:r>
          </w:p>
        </w:tc>
      </w:tr>
      <w:tr w:rsidR="00936B11" w:rsidRPr="00721936" w:rsidTr="0006281B">
        <w:tc>
          <w:tcPr>
            <w:tcW w:w="2435" w:type="dxa"/>
            <w:gridSpan w:val="2"/>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 xml:space="preserve">    Dec         Monthly</w:t>
            </w:r>
          </w:p>
          <w:p w:rsidR="00936B11" w:rsidRPr="00721936" w:rsidRDefault="00936B11" w:rsidP="0006281B">
            <w:pPr>
              <w:rPr>
                <w:sz w:val="20"/>
              </w:rPr>
            </w:pPr>
            <w:r w:rsidRPr="00721936">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Jan</w:t>
            </w:r>
          </w:p>
          <w:p w:rsidR="00936B11" w:rsidRPr="00721936" w:rsidRDefault="00936B11" w:rsidP="0006281B">
            <w:pPr>
              <w:jc w:val="center"/>
              <w:rPr>
                <w:b/>
                <w:sz w:val="20"/>
              </w:rPr>
            </w:pPr>
            <w:r w:rsidRPr="00721936">
              <w:rPr>
                <w:b/>
                <w:sz w:val="20"/>
              </w:rPr>
              <w:t>(100)</w:t>
            </w:r>
          </w:p>
        </w:tc>
        <w:tc>
          <w:tcPr>
            <w:tcW w:w="91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50"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50"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936B11" w:rsidRPr="00AB791C" w:rsidRDefault="00936B11" w:rsidP="0006281B">
            <w:pPr>
              <w:pStyle w:val="Caption"/>
            </w:pPr>
            <w:r w:rsidRPr="00AB791C">
              <w:t>On-Peak/</w:t>
            </w:r>
          </w:p>
          <w:p w:rsidR="00936B11" w:rsidRPr="00AB791C" w:rsidRDefault="00936B11" w:rsidP="0006281B">
            <w:pPr>
              <w:pStyle w:val="Caption"/>
            </w:pPr>
            <w:r w:rsidRPr="008D530B">
              <w:t>Off-Peak</w:t>
            </w:r>
          </w:p>
        </w:tc>
        <w:tc>
          <w:tcPr>
            <w:tcW w:w="1174"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2</w:t>
            </w:r>
          </w:p>
        </w:tc>
        <w:tc>
          <w:tcPr>
            <w:tcW w:w="1152"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4</w:t>
            </w:r>
          </w:p>
        </w:tc>
      </w:tr>
      <w:tr w:rsidR="00936B11" w:rsidRPr="00721936" w:rsidTr="0006281B">
        <w:tc>
          <w:tcPr>
            <w:tcW w:w="2435" w:type="dxa"/>
            <w:gridSpan w:val="2"/>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 xml:space="preserve">    Jan         Monthly</w:t>
            </w:r>
          </w:p>
          <w:p w:rsidR="00936B11" w:rsidRPr="00721936" w:rsidRDefault="00936B11" w:rsidP="0006281B">
            <w:pPr>
              <w:rPr>
                <w:sz w:val="20"/>
              </w:rPr>
            </w:pPr>
            <w:r w:rsidRPr="00721936">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Feb</w:t>
            </w:r>
          </w:p>
          <w:p w:rsidR="00936B11" w:rsidRPr="00721936" w:rsidRDefault="00936B11" w:rsidP="0006281B">
            <w:pPr>
              <w:jc w:val="center"/>
              <w:rPr>
                <w:b/>
                <w:sz w:val="20"/>
              </w:rPr>
            </w:pPr>
            <w:r w:rsidRPr="00721936">
              <w:rPr>
                <w:b/>
                <w:sz w:val="20"/>
              </w:rPr>
              <w:t>(100)</w:t>
            </w:r>
          </w:p>
        </w:tc>
        <w:tc>
          <w:tcPr>
            <w:tcW w:w="91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50"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50"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936B11" w:rsidRPr="00AB791C" w:rsidRDefault="00936B11" w:rsidP="0006281B">
            <w:pPr>
              <w:pStyle w:val="Caption"/>
            </w:pPr>
            <w:r w:rsidRPr="00AB791C">
              <w:t>On-Peak/</w:t>
            </w:r>
          </w:p>
          <w:p w:rsidR="00936B11" w:rsidRPr="00AB791C" w:rsidRDefault="00936B11" w:rsidP="0006281B">
            <w:pPr>
              <w:pStyle w:val="Caption"/>
            </w:pPr>
            <w:r w:rsidRPr="008D530B">
              <w:t>Off-Peak</w:t>
            </w:r>
          </w:p>
        </w:tc>
        <w:tc>
          <w:tcPr>
            <w:tcW w:w="1174"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2</w:t>
            </w:r>
          </w:p>
        </w:tc>
        <w:tc>
          <w:tcPr>
            <w:tcW w:w="1152"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4</w:t>
            </w:r>
          </w:p>
        </w:tc>
      </w:tr>
      <w:tr w:rsidR="00936B11" w:rsidRPr="00721936" w:rsidTr="0006281B">
        <w:tc>
          <w:tcPr>
            <w:tcW w:w="2435" w:type="dxa"/>
            <w:gridSpan w:val="2"/>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 xml:space="preserve">    Feb         Monthly</w:t>
            </w:r>
          </w:p>
          <w:p w:rsidR="00936B11" w:rsidRPr="00721936" w:rsidRDefault="00936B11" w:rsidP="0006281B">
            <w:pPr>
              <w:rPr>
                <w:sz w:val="20"/>
              </w:rPr>
            </w:pPr>
            <w:r w:rsidRPr="00721936">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Mar</w:t>
            </w:r>
          </w:p>
          <w:p w:rsidR="00936B11" w:rsidRPr="00721936" w:rsidRDefault="00936B11" w:rsidP="0006281B">
            <w:pPr>
              <w:jc w:val="center"/>
              <w:rPr>
                <w:b/>
                <w:sz w:val="20"/>
              </w:rPr>
            </w:pPr>
            <w:r w:rsidRPr="00721936">
              <w:rPr>
                <w:b/>
                <w:sz w:val="20"/>
              </w:rPr>
              <w:t>(100)</w:t>
            </w:r>
          </w:p>
        </w:tc>
        <w:tc>
          <w:tcPr>
            <w:tcW w:w="91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50"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50"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936B11" w:rsidRPr="00AB791C" w:rsidRDefault="00936B11" w:rsidP="0006281B">
            <w:pPr>
              <w:pStyle w:val="Caption"/>
            </w:pPr>
            <w:r w:rsidRPr="00AB791C">
              <w:t>On-Peak/</w:t>
            </w:r>
          </w:p>
          <w:p w:rsidR="00936B11" w:rsidRPr="00AB791C" w:rsidRDefault="00936B11" w:rsidP="0006281B">
            <w:pPr>
              <w:pStyle w:val="Caption"/>
            </w:pPr>
            <w:r w:rsidRPr="008D530B">
              <w:t>Off-Peak</w:t>
            </w:r>
          </w:p>
        </w:tc>
        <w:tc>
          <w:tcPr>
            <w:tcW w:w="1174"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2</w:t>
            </w:r>
          </w:p>
        </w:tc>
        <w:tc>
          <w:tcPr>
            <w:tcW w:w="1152"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4</w:t>
            </w:r>
          </w:p>
        </w:tc>
      </w:tr>
      <w:tr w:rsidR="00936B11" w:rsidRPr="00721936" w:rsidTr="0006281B">
        <w:tc>
          <w:tcPr>
            <w:tcW w:w="2435" w:type="dxa"/>
            <w:gridSpan w:val="2"/>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 xml:space="preserve">    Mar        Monthly</w:t>
            </w:r>
          </w:p>
          <w:p w:rsidR="00936B11" w:rsidRPr="00721936" w:rsidRDefault="00936B11" w:rsidP="0006281B">
            <w:pPr>
              <w:rPr>
                <w:sz w:val="20"/>
              </w:rPr>
            </w:pPr>
            <w:r w:rsidRPr="00721936">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Apr</w:t>
            </w:r>
          </w:p>
          <w:p w:rsidR="00936B11" w:rsidRPr="00721936" w:rsidRDefault="00936B11" w:rsidP="0006281B">
            <w:pPr>
              <w:jc w:val="center"/>
              <w:rPr>
                <w:b/>
                <w:sz w:val="20"/>
              </w:rPr>
            </w:pPr>
            <w:r w:rsidRPr="00721936">
              <w:rPr>
                <w:b/>
                <w:sz w:val="20"/>
              </w:rPr>
              <w:t>(100)</w:t>
            </w:r>
          </w:p>
        </w:tc>
        <w:tc>
          <w:tcPr>
            <w:tcW w:w="91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50"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50"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936B11" w:rsidRPr="00AB791C" w:rsidRDefault="00936B11" w:rsidP="0006281B">
            <w:pPr>
              <w:pStyle w:val="Caption"/>
            </w:pPr>
            <w:r w:rsidRPr="00AB791C">
              <w:t>On-Peak/</w:t>
            </w:r>
          </w:p>
          <w:p w:rsidR="00936B11" w:rsidRPr="00AB791C" w:rsidRDefault="00936B11" w:rsidP="0006281B">
            <w:pPr>
              <w:pStyle w:val="Caption"/>
            </w:pPr>
            <w:r w:rsidRPr="008D530B">
              <w:t>Off-Peak</w:t>
            </w:r>
          </w:p>
        </w:tc>
        <w:tc>
          <w:tcPr>
            <w:tcW w:w="1174"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2</w:t>
            </w:r>
          </w:p>
        </w:tc>
        <w:tc>
          <w:tcPr>
            <w:tcW w:w="1152"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4</w:t>
            </w:r>
          </w:p>
        </w:tc>
      </w:tr>
      <w:tr w:rsidR="00936B11" w:rsidRPr="00721936" w:rsidTr="0006281B">
        <w:tc>
          <w:tcPr>
            <w:tcW w:w="2435" w:type="dxa"/>
            <w:gridSpan w:val="2"/>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 xml:space="preserve">    Apr        Monthly</w:t>
            </w:r>
          </w:p>
          <w:p w:rsidR="00936B11" w:rsidRPr="00721936" w:rsidRDefault="00936B11" w:rsidP="0006281B">
            <w:pPr>
              <w:rPr>
                <w:sz w:val="20"/>
              </w:rPr>
            </w:pPr>
            <w:r w:rsidRPr="00721936">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M</w:t>
            </w:r>
            <w:r>
              <w:t>ay</w:t>
            </w:r>
          </w:p>
          <w:p w:rsidR="00936B11" w:rsidRPr="00721936" w:rsidRDefault="00936B11" w:rsidP="0006281B">
            <w:pPr>
              <w:jc w:val="center"/>
              <w:rPr>
                <w:b/>
                <w:sz w:val="20"/>
              </w:rPr>
            </w:pPr>
            <w:r w:rsidRPr="00721936">
              <w:rPr>
                <w:b/>
                <w:sz w:val="20"/>
              </w:rPr>
              <w:t>(100)</w:t>
            </w:r>
          </w:p>
        </w:tc>
        <w:tc>
          <w:tcPr>
            <w:tcW w:w="91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50"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50"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934" w:type="dxa"/>
            <w:tcBorders>
              <w:top w:val="single" w:sz="4" w:space="0" w:color="auto"/>
              <w:left w:val="single" w:sz="4" w:space="0" w:color="auto"/>
              <w:bottom w:val="single" w:sz="4" w:space="0" w:color="auto"/>
              <w:right w:val="single" w:sz="4" w:space="0" w:color="auto"/>
            </w:tcBorders>
          </w:tcPr>
          <w:p w:rsidR="00936B11" w:rsidRPr="00721936" w:rsidRDefault="00936B11" w:rsidP="0006281B">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936B11" w:rsidRPr="00AB791C" w:rsidRDefault="00936B11" w:rsidP="0006281B">
            <w:pPr>
              <w:pStyle w:val="Caption"/>
            </w:pPr>
            <w:r w:rsidRPr="00AB791C">
              <w:t>On-Peak/</w:t>
            </w:r>
          </w:p>
          <w:p w:rsidR="00936B11" w:rsidRPr="00AB791C" w:rsidRDefault="00936B11" w:rsidP="0006281B">
            <w:pPr>
              <w:pStyle w:val="Caption"/>
            </w:pPr>
            <w:r w:rsidRPr="008D530B">
              <w:t>Off-Peak</w:t>
            </w:r>
          </w:p>
        </w:tc>
        <w:tc>
          <w:tcPr>
            <w:tcW w:w="1174"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2</w:t>
            </w:r>
          </w:p>
        </w:tc>
        <w:tc>
          <w:tcPr>
            <w:tcW w:w="1152" w:type="dxa"/>
            <w:tcBorders>
              <w:top w:val="single" w:sz="4" w:space="0" w:color="auto"/>
              <w:left w:val="single" w:sz="4" w:space="0" w:color="auto"/>
              <w:bottom w:val="single" w:sz="4" w:space="0" w:color="auto"/>
              <w:right w:val="single" w:sz="4" w:space="0" w:color="auto"/>
            </w:tcBorders>
            <w:hideMark/>
          </w:tcPr>
          <w:p w:rsidR="00936B11" w:rsidRPr="00721936" w:rsidRDefault="00936B11" w:rsidP="0006281B">
            <w:pPr>
              <w:pStyle w:val="Caption"/>
            </w:pPr>
            <w:r w:rsidRPr="00721936">
              <w:t>4</w:t>
            </w:r>
          </w:p>
        </w:tc>
      </w:tr>
    </w:tbl>
    <w:p w:rsidR="00936B11" w:rsidRDefault="00936B11" w:rsidP="00936B11">
      <w:pPr>
        <w:pStyle w:val="ParaText"/>
      </w:pPr>
    </w:p>
    <w:p w:rsidR="00936B11" w:rsidRDefault="00936B11" w:rsidP="00936B11">
      <w:pPr>
        <w:pStyle w:val="ParaText"/>
        <w:sectPr w:rsidR="00936B11" w:rsidSect="0006281B">
          <w:headerReference w:type="default" r:id="rId19"/>
          <w:pgSz w:w="15840" w:h="12240" w:orient="landscape"/>
          <w:pgMar w:top="1440" w:right="1728" w:bottom="1440" w:left="1728" w:header="720" w:footer="720" w:gutter="0"/>
          <w:cols w:space="720"/>
          <w:docGrid w:linePitch="299"/>
        </w:sectPr>
      </w:pPr>
    </w:p>
    <w:p w:rsidR="00936B11" w:rsidRDefault="00936B11" w:rsidP="00936B11">
      <w:pPr>
        <w:pStyle w:val="ParaText"/>
      </w:pPr>
      <w:r>
        <w:lastRenderedPageBreak/>
        <w:t xml:space="preserve">Key process and design assumptions of each of these </w:t>
      </w:r>
      <w:commentRangeStart w:id="106"/>
      <w:r>
        <w:t>eight (8</w:t>
      </w:r>
      <w:commentRangeEnd w:id="106"/>
      <w:r>
        <w:rPr>
          <w:rStyle w:val="CommentReference"/>
        </w:rPr>
        <w:commentReference w:id="106"/>
      </w:r>
      <w:r>
        <w:t>) key steps are described in the following sub-sections.</w:t>
      </w:r>
      <w:r w:rsidRPr="00B50B74">
        <w:t xml:space="preserve"> </w:t>
      </w:r>
      <w:r>
        <w:t xml:space="preserve">  </w:t>
      </w:r>
    </w:p>
    <w:p w:rsidR="006D5404" w:rsidRPr="006D5404" w:rsidRDefault="006D5404" w:rsidP="006D5404">
      <w:pPr>
        <w:pStyle w:val="Heading3"/>
        <w:numPr>
          <w:ilvl w:val="2"/>
          <w:numId w:val="0"/>
        </w:numPr>
        <w:tabs>
          <w:tab w:val="num" w:pos="1080"/>
        </w:tabs>
        <w:spacing w:after="240"/>
        <w:ind w:left="1080" w:hanging="1080"/>
        <w:jc w:val="both"/>
        <w:rPr>
          <w:rFonts w:ascii="Times New Roman" w:hAnsi="Times New Roman"/>
          <w:bCs w:val="0"/>
          <w:sz w:val="24"/>
          <w:szCs w:val="24"/>
        </w:rPr>
      </w:pPr>
      <w:bookmarkStart w:id="107" w:name="_Ref260122227"/>
      <w:bookmarkStart w:id="108" w:name="_Toc263173414"/>
      <w:bookmarkStart w:id="109" w:name="_Toc263173643"/>
      <w:bookmarkStart w:id="110" w:name="_Toc263173830"/>
      <w:bookmarkStart w:id="111" w:name="_Toc263174242"/>
      <w:bookmarkStart w:id="112" w:name="_Toc263235141"/>
      <w:bookmarkStart w:id="113" w:name="_Toc263235785"/>
      <w:bookmarkStart w:id="114" w:name="_Toc263429528"/>
      <w:bookmarkStart w:id="115" w:name="_Toc263795568"/>
      <w:bookmarkStart w:id="116" w:name="_Toc266869744"/>
      <w:bookmarkStart w:id="117" w:name="_Toc381089988"/>
      <w:r w:rsidRPr="006D5404">
        <w:rPr>
          <w:rFonts w:ascii="Times New Roman" w:hAnsi="Times New Roman"/>
          <w:bCs w:val="0"/>
          <w:sz w:val="24"/>
          <w:szCs w:val="24"/>
        </w:rPr>
        <w:t>5.1.1</w:t>
      </w:r>
      <w:r w:rsidRPr="006D5404">
        <w:rPr>
          <w:rFonts w:ascii="Times New Roman" w:hAnsi="Times New Roman"/>
          <w:bCs w:val="0"/>
          <w:sz w:val="24"/>
          <w:szCs w:val="24"/>
        </w:rPr>
        <w:tab/>
        <w:t>Transmission Service Verification</w:t>
      </w:r>
      <w:bookmarkEnd w:id="107"/>
      <w:bookmarkEnd w:id="108"/>
      <w:bookmarkEnd w:id="109"/>
      <w:bookmarkEnd w:id="110"/>
      <w:bookmarkEnd w:id="111"/>
      <w:bookmarkEnd w:id="112"/>
      <w:bookmarkEnd w:id="113"/>
      <w:bookmarkEnd w:id="114"/>
      <w:bookmarkEnd w:id="115"/>
      <w:bookmarkEnd w:id="116"/>
      <w:bookmarkEnd w:id="117"/>
    </w:p>
    <w:p w:rsidR="006D5404" w:rsidRPr="00C939B9" w:rsidRDefault="006D5404" w:rsidP="006D5404">
      <w:pPr>
        <w:pStyle w:val="Bullet1HRt"/>
        <w:tabs>
          <w:tab w:val="clear" w:pos="720"/>
          <w:tab w:val="clear" w:pos="1440"/>
        </w:tabs>
        <w:spacing w:before="120" w:after="120"/>
        <w:ind w:left="0" w:firstLine="0"/>
        <w:rPr>
          <w:szCs w:val="24"/>
        </w:rPr>
      </w:pPr>
      <w:r>
        <w:rPr>
          <w:szCs w:val="24"/>
        </w:rPr>
        <w:t xml:space="preserve">In order for Eligible Entities to obtain candidate </w:t>
      </w:r>
      <w:commentRangeStart w:id="118"/>
      <w:r w:rsidRPr="001254EA">
        <w:t xml:space="preserve">LTCRs and/or </w:t>
      </w:r>
      <w:commentRangeEnd w:id="118"/>
      <w:r>
        <w:rPr>
          <w:rStyle w:val="CommentReference"/>
        </w:rPr>
        <w:commentReference w:id="118"/>
      </w:r>
      <w:r>
        <w:rPr>
          <w:szCs w:val="24"/>
        </w:rPr>
        <w:t>ARRs, SPP must first verify existing transmission service entitlements</w:t>
      </w:r>
      <w:r w:rsidRPr="000C6778">
        <w:rPr>
          <w:szCs w:val="24"/>
        </w:rPr>
        <w:t>, including transmission service entitlements which have been renewed in accordance with rollover rights since their initial term</w:t>
      </w:r>
      <w:r>
        <w:rPr>
          <w:szCs w:val="24"/>
        </w:rPr>
        <w:t xml:space="preserve">.  </w:t>
      </w:r>
      <w:commentRangeStart w:id="119"/>
      <w:r w:rsidRPr="001254EA">
        <w:t xml:space="preserve">In order to qualify for candidate LTCRs, an Eligible Entity’s firm transmission service must contain rollover rights and must span the entire allocation year.  </w:t>
      </w:r>
      <w:commentRangeEnd w:id="119"/>
      <w:r>
        <w:rPr>
          <w:rStyle w:val="CommentReference"/>
        </w:rPr>
        <w:commentReference w:id="119"/>
      </w:r>
      <w:r>
        <w:rPr>
          <w:szCs w:val="24"/>
        </w:rPr>
        <w:t xml:space="preserve">In order to qualify for candidate ARRs in a particular month and/or season, an Eligible Entity’s transmission service must span the entire monthly or seasonal period within the applicable </w:t>
      </w:r>
      <w:commentRangeStart w:id="120"/>
      <w:r w:rsidRPr="001254EA">
        <w:t xml:space="preserve">allocation </w:t>
      </w:r>
      <w:commentRangeEnd w:id="120"/>
      <w:r>
        <w:rPr>
          <w:rStyle w:val="CommentReference"/>
        </w:rPr>
        <w:commentReference w:id="120"/>
      </w:r>
      <w:r>
        <w:rPr>
          <w:szCs w:val="24"/>
        </w:rPr>
        <w:t>year.</w:t>
      </w:r>
      <w:r w:rsidRPr="004079C3">
        <w:rPr>
          <w:szCs w:val="24"/>
        </w:rPr>
        <w:t xml:space="preserve">  For Transmission Service with rollover rights whose deadline for providing notice of rollover occurs after the annual </w:t>
      </w:r>
      <w:ins w:id="121" w:author="Micha Bailey" w:date="2014-03-12T14:16:00Z">
        <w:r w:rsidR="0006281B">
          <w:t>LTCR/</w:t>
        </w:r>
      </w:ins>
      <w:r w:rsidRPr="004079C3">
        <w:rPr>
          <w:szCs w:val="24"/>
        </w:rPr>
        <w:t>ARR verification but before June 1, the Transmission Provider shall assume that the rollover will occur and shall consider the Transmission Service entitlement to span the entire allocation year</w:t>
      </w:r>
      <w:r w:rsidRPr="008B3BF1">
        <w:t>, provided, however, that, if rollover rights for such Transmission Service are not exercised by the applicable deadline, any ARRs</w:t>
      </w:r>
      <w:ins w:id="122" w:author="Micha Bailey" w:date="2014-03-12T14:17:00Z">
        <w:r w:rsidR="0006281B">
          <w:t>, TCRs, or LTCRs</w:t>
        </w:r>
      </w:ins>
      <w:r w:rsidRPr="008B3BF1">
        <w:t xml:space="preserve"> associated with such Transmission Service shall revert to the Transmission Provider effective on the date such Transmission Service terminates</w:t>
      </w:r>
      <w:r w:rsidRPr="004079C3">
        <w:rPr>
          <w:szCs w:val="24"/>
        </w:rPr>
        <w:t>.</w:t>
      </w:r>
      <w:r>
        <w:rPr>
          <w:szCs w:val="24"/>
        </w:rPr>
        <w:t xml:space="preserve"> SPP will verify </w:t>
      </w:r>
      <w:commentRangeStart w:id="123"/>
      <w:r w:rsidRPr="001254EA">
        <w:t xml:space="preserve">each </w:t>
      </w:r>
      <w:commentRangeEnd w:id="123"/>
      <w:r>
        <w:rPr>
          <w:rStyle w:val="CommentReference"/>
        </w:rPr>
        <w:commentReference w:id="123"/>
      </w:r>
      <w:r>
        <w:rPr>
          <w:szCs w:val="24"/>
        </w:rPr>
        <w:t>Eligible Entity</w:t>
      </w:r>
      <w:r w:rsidRPr="001254EA">
        <w:t>'s</w:t>
      </w:r>
      <w:r>
        <w:rPr>
          <w:szCs w:val="24"/>
        </w:rPr>
        <w:t xml:space="preserve"> </w:t>
      </w:r>
      <w:r w:rsidRPr="00C939B9">
        <w:rPr>
          <w:szCs w:val="24"/>
        </w:rPr>
        <w:t xml:space="preserve">existing </w:t>
      </w:r>
      <w:r>
        <w:rPr>
          <w:szCs w:val="24"/>
        </w:rPr>
        <w:t xml:space="preserve">transmission service </w:t>
      </w:r>
      <w:r w:rsidRPr="00C939B9">
        <w:rPr>
          <w:szCs w:val="24"/>
        </w:rPr>
        <w:t>entitlements</w:t>
      </w:r>
      <w:r>
        <w:rPr>
          <w:szCs w:val="24"/>
        </w:rPr>
        <w:t xml:space="preserve"> as follows:</w:t>
      </w:r>
      <w:r w:rsidRPr="00C939B9">
        <w:rPr>
          <w:szCs w:val="24"/>
        </w:rPr>
        <w:t xml:space="preserve"> </w:t>
      </w:r>
    </w:p>
    <w:p w:rsidR="006D5404" w:rsidRDefault="006D5404" w:rsidP="006D5404">
      <w:pPr>
        <w:pStyle w:val="Bullet2HRt"/>
        <w:numPr>
          <w:ilvl w:val="0"/>
          <w:numId w:val="37"/>
        </w:numPr>
        <w:tabs>
          <w:tab w:val="clear" w:pos="1080"/>
          <w:tab w:val="left" w:pos="720"/>
        </w:tabs>
        <w:spacing w:before="120" w:after="120"/>
        <w:rPr>
          <w:szCs w:val="24"/>
        </w:rPr>
      </w:pPr>
      <w:r>
        <w:rPr>
          <w:szCs w:val="24"/>
        </w:rPr>
        <w:t>For Eligible Entities taking Network Integration Transmission Service (NITS) and/or Firm Point-To-Point Transmission Service (FPTP) under the SPP Tariff:</w:t>
      </w:r>
    </w:p>
    <w:p w:rsidR="006D5404" w:rsidRDefault="006D5404" w:rsidP="006D5404">
      <w:pPr>
        <w:pStyle w:val="Bullet2HRt"/>
        <w:numPr>
          <w:ilvl w:val="1"/>
          <w:numId w:val="37"/>
        </w:numPr>
        <w:tabs>
          <w:tab w:val="clear" w:pos="1080"/>
          <w:tab w:val="left" w:pos="720"/>
        </w:tabs>
        <w:spacing w:before="120" w:after="120"/>
        <w:rPr>
          <w:szCs w:val="24"/>
        </w:rPr>
      </w:pPr>
      <w:r>
        <w:rPr>
          <w:szCs w:val="24"/>
        </w:rPr>
        <w:t>SPP will obtain source, sink and Reserved Capacity information from the SPP OASIS for each monthly and seasonal period for the applicable year in which the transmission service spans the entire period</w:t>
      </w:r>
      <w:commentRangeStart w:id="124"/>
      <w:r w:rsidRPr="001254EA">
        <w:t xml:space="preserve"> for ARR purposes and for the annual period for the applicable year for LTCR purposes</w:t>
      </w:r>
      <w:commentRangeEnd w:id="124"/>
      <w:r>
        <w:rPr>
          <w:rStyle w:val="CommentReference"/>
        </w:rPr>
        <w:commentReference w:id="124"/>
      </w:r>
      <w:r w:rsidRPr="004079C3">
        <w:t>, or would if or when rolled over</w:t>
      </w:r>
      <w:r>
        <w:rPr>
          <w:szCs w:val="24"/>
        </w:rPr>
        <w:t>;</w:t>
      </w:r>
      <w:commentRangeStart w:id="125"/>
    </w:p>
    <w:p w:rsidR="006D5404" w:rsidRPr="007175EA" w:rsidRDefault="006D5404" w:rsidP="006D5404">
      <w:pPr>
        <w:pStyle w:val="Bullet2HRt"/>
        <w:numPr>
          <w:ilvl w:val="1"/>
          <w:numId w:val="37"/>
        </w:numPr>
        <w:tabs>
          <w:tab w:val="clear" w:pos="1080"/>
          <w:tab w:val="left" w:pos="720"/>
        </w:tabs>
        <w:spacing w:before="120" w:after="120"/>
        <w:rPr>
          <w:szCs w:val="24"/>
        </w:rPr>
      </w:pPr>
      <w:r w:rsidRPr="001254EA">
        <w:t>Eligible Entities taking NITS with rollover rights shall be considered an LSE for purposes of LTCR allocation</w:t>
      </w:r>
      <w:r>
        <w:t>;</w:t>
      </w:r>
    </w:p>
    <w:p w:rsidR="006D5404" w:rsidRDefault="006D5404" w:rsidP="006D5404">
      <w:pPr>
        <w:pStyle w:val="Bullet2HRt"/>
        <w:numPr>
          <w:ilvl w:val="1"/>
          <w:numId w:val="37"/>
        </w:numPr>
        <w:tabs>
          <w:tab w:val="clear" w:pos="1080"/>
          <w:tab w:val="left" w:pos="720"/>
        </w:tabs>
        <w:spacing w:before="120" w:after="120"/>
        <w:rPr>
          <w:szCs w:val="24"/>
        </w:rPr>
      </w:pPr>
      <w:r w:rsidRPr="001254EA">
        <w:t>Eligible Entities taking FPTP service with rollover rights shall not be considered an LSE for that service unless the Eligible Entity provides an attestation to SPP confirming that the Eligible Entity is an LSE as defined in Attachment AE of the Tariff for such service</w:t>
      </w:r>
      <w:r>
        <w:t>;</w:t>
      </w:r>
      <w:commentRangeEnd w:id="125"/>
      <w:r>
        <w:rPr>
          <w:rStyle w:val="CommentReference"/>
        </w:rPr>
        <w:commentReference w:id="125"/>
      </w:r>
    </w:p>
    <w:p w:rsidR="006D5404" w:rsidRDefault="006D5404" w:rsidP="006D5404">
      <w:pPr>
        <w:pStyle w:val="Bullet2HRt"/>
        <w:numPr>
          <w:ilvl w:val="1"/>
          <w:numId w:val="37"/>
        </w:numPr>
        <w:tabs>
          <w:tab w:val="clear" w:pos="1080"/>
          <w:tab w:val="left" w:pos="720"/>
        </w:tabs>
        <w:spacing w:before="120" w:after="120"/>
        <w:rPr>
          <w:szCs w:val="24"/>
        </w:rPr>
      </w:pPr>
      <w:r>
        <w:rPr>
          <w:szCs w:val="24"/>
        </w:rPr>
        <w:t>For a TSR</w:t>
      </w:r>
      <w:r w:rsidRPr="00FD69ED">
        <w:rPr>
          <w:szCs w:val="24"/>
        </w:rPr>
        <w:t xml:space="preserve"> </w:t>
      </w:r>
      <w:r>
        <w:rPr>
          <w:szCs w:val="24"/>
        </w:rPr>
        <w:t xml:space="preserve">with a source inside </w:t>
      </w:r>
      <w:r w:rsidRPr="00DE5580">
        <w:rPr>
          <w:szCs w:val="24"/>
        </w:rPr>
        <w:t>the SPP Market</w:t>
      </w:r>
      <w:r>
        <w:rPr>
          <w:szCs w:val="24"/>
        </w:rPr>
        <w:t xml:space="preserve"> that</w:t>
      </w:r>
      <w:r w:rsidRPr="00DE5580">
        <w:rPr>
          <w:szCs w:val="24"/>
        </w:rPr>
        <w:t xml:space="preserve"> is not a specific Resource</w:t>
      </w:r>
      <w:r>
        <w:rPr>
          <w:szCs w:val="24"/>
        </w:rPr>
        <w:t xml:space="preserve"> or Resource Hub, the </w:t>
      </w:r>
      <w:r w:rsidRPr="00DE5580">
        <w:rPr>
          <w:szCs w:val="24"/>
        </w:rPr>
        <w:t>load Settlement Location that most closely correspond</w:t>
      </w:r>
      <w:r>
        <w:rPr>
          <w:szCs w:val="24"/>
        </w:rPr>
        <w:t>s</w:t>
      </w:r>
      <w:r w:rsidRPr="00DE5580">
        <w:rPr>
          <w:szCs w:val="24"/>
        </w:rPr>
        <w:t xml:space="preserve"> to the </w:t>
      </w:r>
      <w:r>
        <w:rPr>
          <w:szCs w:val="24"/>
        </w:rPr>
        <w:t xml:space="preserve">source on the reservation will be utilized as the source for candidate </w:t>
      </w:r>
      <w:commentRangeStart w:id="126"/>
      <w:r w:rsidRPr="001254EA">
        <w:t xml:space="preserve">LTCRs and/or </w:t>
      </w:r>
      <w:commentRangeEnd w:id="126"/>
      <w:r>
        <w:rPr>
          <w:rStyle w:val="CommentReference"/>
        </w:rPr>
        <w:commentReference w:id="126"/>
      </w:r>
      <w:r>
        <w:rPr>
          <w:szCs w:val="24"/>
        </w:rPr>
        <w:t>ARRs</w:t>
      </w:r>
      <w:r w:rsidRPr="00ED29AF">
        <w:t>.  Eligible Entities may</w:t>
      </w:r>
      <w:r>
        <w:t xml:space="preserve"> create Resource specific TSRs that represent </w:t>
      </w:r>
      <w:r w:rsidRPr="00ED29AF">
        <w:t xml:space="preserve">their current TSRs using the process described under Section </w:t>
      </w:r>
      <w:r>
        <w:fldChar w:fldCharType="begin"/>
      </w:r>
      <w:r>
        <w:instrText xml:space="preserve"> REF _Ref367777593 \n \h </w:instrText>
      </w:r>
      <w:r>
        <w:fldChar w:fldCharType="separate"/>
      </w:r>
      <w:r>
        <w:t>5.1.1.1</w:t>
      </w:r>
      <w:r>
        <w:fldChar w:fldCharType="end"/>
      </w:r>
      <w:r>
        <w:rPr>
          <w:szCs w:val="24"/>
        </w:rPr>
        <w:t>;</w:t>
      </w:r>
    </w:p>
    <w:p w:rsidR="006D5404" w:rsidRDefault="006D5404" w:rsidP="006D5404">
      <w:pPr>
        <w:pStyle w:val="Bullet2HRt"/>
        <w:numPr>
          <w:ilvl w:val="1"/>
          <w:numId w:val="37"/>
        </w:numPr>
        <w:tabs>
          <w:tab w:val="clear" w:pos="1080"/>
          <w:tab w:val="left" w:pos="720"/>
        </w:tabs>
        <w:spacing w:before="120" w:after="120"/>
        <w:rPr>
          <w:szCs w:val="24"/>
        </w:rPr>
      </w:pPr>
      <w:r>
        <w:rPr>
          <w:szCs w:val="24"/>
        </w:rPr>
        <w:t>For a TSR</w:t>
      </w:r>
      <w:r w:rsidRPr="00FD69ED">
        <w:rPr>
          <w:szCs w:val="24"/>
        </w:rPr>
        <w:t xml:space="preserve"> </w:t>
      </w:r>
      <w:r>
        <w:rPr>
          <w:szCs w:val="24"/>
        </w:rPr>
        <w:t xml:space="preserve">with a source outside of the SPP Market, the </w:t>
      </w:r>
      <w:commentRangeStart w:id="127"/>
      <w:r>
        <w:rPr>
          <w:szCs w:val="24"/>
        </w:rPr>
        <w:t xml:space="preserve">Interface </w:t>
      </w:r>
      <w:r w:rsidRPr="001254EA">
        <w:t>Settlement Location</w:t>
      </w:r>
      <w:r>
        <w:rPr>
          <w:szCs w:val="24"/>
        </w:rPr>
        <w:t xml:space="preserve"> </w:t>
      </w:r>
      <w:commentRangeEnd w:id="127"/>
      <w:r>
        <w:rPr>
          <w:rStyle w:val="CommentReference"/>
        </w:rPr>
        <w:commentReference w:id="127"/>
      </w:r>
      <w:r>
        <w:rPr>
          <w:szCs w:val="24"/>
        </w:rPr>
        <w:t>associated with the Balancing Authority of the source will be utilized as the source</w:t>
      </w:r>
      <w:commentRangeStart w:id="128"/>
      <w:r w:rsidRPr="001254EA">
        <w:t xml:space="preserve"> for candidate LTCRs and/or ARRs</w:t>
      </w:r>
      <w:commentRangeEnd w:id="128"/>
      <w:r>
        <w:rPr>
          <w:rStyle w:val="CommentReference"/>
        </w:rPr>
        <w:commentReference w:id="128"/>
      </w:r>
      <w:r>
        <w:rPr>
          <w:szCs w:val="24"/>
        </w:rPr>
        <w:t>;</w:t>
      </w:r>
      <w:commentRangeStart w:id="129"/>
    </w:p>
    <w:p w:rsidR="006D5404" w:rsidRDefault="006D5404" w:rsidP="006D5404">
      <w:pPr>
        <w:pStyle w:val="Bullet2HRt"/>
        <w:numPr>
          <w:ilvl w:val="1"/>
          <w:numId w:val="37"/>
        </w:numPr>
        <w:tabs>
          <w:tab w:val="clear" w:pos="1080"/>
          <w:tab w:val="left" w:pos="720"/>
        </w:tabs>
        <w:spacing w:before="120" w:after="120"/>
        <w:rPr>
          <w:szCs w:val="24"/>
        </w:rPr>
      </w:pPr>
      <w:r>
        <w:rPr>
          <w:szCs w:val="24"/>
        </w:rPr>
        <w:lastRenderedPageBreak/>
        <w:t>For a TSR</w:t>
      </w:r>
      <w:r w:rsidRPr="00FD69ED">
        <w:rPr>
          <w:szCs w:val="24"/>
        </w:rPr>
        <w:t xml:space="preserve"> </w:t>
      </w:r>
      <w:r>
        <w:rPr>
          <w:szCs w:val="24"/>
        </w:rPr>
        <w:t xml:space="preserve">with a sink outside of the SPP Market, the Interface </w:t>
      </w:r>
      <w:r w:rsidRPr="001254EA">
        <w:t>Settlement Location</w:t>
      </w:r>
      <w:r>
        <w:rPr>
          <w:szCs w:val="24"/>
        </w:rPr>
        <w:t xml:space="preserve"> associated with the Balancing Authority of the sink will be utilized as the source</w:t>
      </w:r>
      <w:r w:rsidRPr="001254EA">
        <w:t xml:space="preserve"> for candidate LTCRs and/or ARRs</w:t>
      </w:r>
      <w:r>
        <w:t>;</w:t>
      </w:r>
      <w:commentRangeEnd w:id="129"/>
      <w:r>
        <w:rPr>
          <w:rStyle w:val="CommentReference"/>
        </w:rPr>
        <w:commentReference w:id="129"/>
      </w:r>
    </w:p>
    <w:p w:rsidR="006D5404" w:rsidRDefault="006D5404" w:rsidP="006D5404">
      <w:pPr>
        <w:pStyle w:val="Bullet2HRt"/>
        <w:numPr>
          <w:ilvl w:val="1"/>
          <w:numId w:val="37"/>
        </w:numPr>
        <w:tabs>
          <w:tab w:val="clear" w:pos="1080"/>
          <w:tab w:val="left" w:pos="720"/>
        </w:tabs>
        <w:spacing w:before="120" w:after="120"/>
        <w:rPr>
          <w:szCs w:val="24"/>
        </w:rPr>
      </w:pPr>
      <w:r>
        <w:rPr>
          <w:szCs w:val="24"/>
        </w:rPr>
        <w:t>SPP will provide this information to each Eligible Entity for verification;</w:t>
      </w:r>
    </w:p>
    <w:p w:rsidR="006D5404" w:rsidRDefault="006D5404" w:rsidP="006D5404">
      <w:pPr>
        <w:pStyle w:val="Bullet2HRt"/>
        <w:numPr>
          <w:ilvl w:val="1"/>
          <w:numId w:val="37"/>
        </w:numPr>
        <w:tabs>
          <w:tab w:val="clear" w:pos="1080"/>
          <w:tab w:val="left" w:pos="720"/>
        </w:tabs>
        <w:spacing w:before="120" w:after="120"/>
        <w:rPr>
          <w:szCs w:val="24"/>
        </w:rPr>
      </w:pPr>
      <w:r>
        <w:rPr>
          <w:szCs w:val="24"/>
        </w:rPr>
        <w:t>Eligible Entities will notify SPP within two (2) weeks following receipt of this information identifying and correcting inaccurate data.  Otherwise, the SPP provided data will be considered verified.</w:t>
      </w:r>
    </w:p>
    <w:p w:rsidR="006D5404" w:rsidRDefault="006D5404" w:rsidP="006D5404">
      <w:pPr>
        <w:pStyle w:val="Bullet2HRt"/>
        <w:numPr>
          <w:ilvl w:val="0"/>
          <w:numId w:val="37"/>
        </w:numPr>
        <w:tabs>
          <w:tab w:val="clear" w:pos="1080"/>
          <w:tab w:val="left" w:pos="720"/>
        </w:tabs>
        <w:spacing w:before="120" w:after="120"/>
        <w:rPr>
          <w:szCs w:val="24"/>
        </w:rPr>
      </w:pPr>
      <w:bookmarkStart w:id="130" w:name="OLE_LINK254"/>
      <w:bookmarkStart w:id="131" w:name="OLE_LINK255"/>
      <w:r>
        <w:rPr>
          <w:szCs w:val="24"/>
        </w:rPr>
        <w:t>For Eligible Entities taking GFA service</w:t>
      </w:r>
      <w:r w:rsidRPr="00C66D1C">
        <w:t xml:space="preserve"> without Carve Out treatment</w:t>
      </w:r>
      <w:r>
        <w:rPr>
          <w:szCs w:val="24"/>
        </w:rPr>
        <w:t>:</w:t>
      </w:r>
    </w:p>
    <w:p w:rsidR="006D5404" w:rsidRDefault="006D5404" w:rsidP="006D5404">
      <w:pPr>
        <w:pStyle w:val="Bullet2HRt"/>
        <w:numPr>
          <w:ilvl w:val="1"/>
          <w:numId w:val="37"/>
        </w:numPr>
        <w:tabs>
          <w:tab w:val="clear" w:pos="1080"/>
          <w:tab w:val="left" w:pos="720"/>
        </w:tabs>
        <w:spacing w:before="120" w:after="120"/>
        <w:rPr>
          <w:szCs w:val="24"/>
        </w:rPr>
      </w:pPr>
      <w:r>
        <w:rPr>
          <w:szCs w:val="24"/>
        </w:rPr>
        <w:t>If the transmission customer under the GFA desires to nominate ARRs associated with the GFA sources and sinks identified in the Grandfathered Agreement, the GFA Parties must register such GFA with SPP and provide sources, sinks and reserved capacity information</w:t>
      </w:r>
      <w:r w:rsidRPr="00AB5F3E">
        <w:rPr>
          <w:szCs w:val="24"/>
        </w:rPr>
        <w:t xml:space="preserve">.  SPP will obtain source, sink and </w:t>
      </w:r>
      <w:r>
        <w:rPr>
          <w:szCs w:val="24"/>
        </w:rPr>
        <w:t>reservation</w:t>
      </w:r>
      <w:r w:rsidRPr="00AB5F3E">
        <w:rPr>
          <w:szCs w:val="24"/>
        </w:rPr>
        <w:t xml:space="preserve"> </w:t>
      </w:r>
      <w:r>
        <w:rPr>
          <w:szCs w:val="24"/>
        </w:rPr>
        <w:t>capacity</w:t>
      </w:r>
      <w:r w:rsidRPr="00AB5F3E">
        <w:rPr>
          <w:szCs w:val="24"/>
        </w:rPr>
        <w:t xml:space="preserve"> information from the GFA registration for each monthly and seasonal period for the applicable year in which the transmission service spans the entire period</w:t>
      </w:r>
      <w:r>
        <w:rPr>
          <w:szCs w:val="24"/>
        </w:rPr>
        <w:t>;</w:t>
      </w:r>
      <w:commentRangeStart w:id="132"/>
    </w:p>
    <w:p w:rsidR="006D5404" w:rsidRPr="00B26253" w:rsidRDefault="006D5404" w:rsidP="006D5404">
      <w:pPr>
        <w:pStyle w:val="Bullet2HRt"/>
        <w:numPr>
          <w:ilvl w:val="1"/>
          <w:numId w:val="37"/>
        </w:numPr>
        <w:tabs>
          <w:tab w:val="clear" w:pos="1080"/>
          <w:tab w:val="left" w:pos="720"/>
        </w:tabs>
        <w:spacing w:before="120" w:after="120"/>
        <w:rPr>
          <w:szCs w:val="24"/>
        </w:rPr>
      </w:pPr>
      <w:r w:rsidRPr="001254EA">
        <w:t>Eligible Entities taking the equivalent of SPP NITS with rollover rights shall be considered an LSE for purposes of LTCR allocation</w:t>
      </w:r>
      <w:r>
        <w:t>;</w:t>
      </w:r>
    </w:p>
    <w:p w:rsidR="006D5404" w:rsidRDefault="006D5404" w:rsidP="006D5404">
      <w:pPr>
        <w:pStyle w:val="Bullet2HRt"/>
        <w:numPr>
          <w:ilvl w:val="1"/>
          <w:numId w:val="37"/>
        </w:numPr>
        <w:tabs>
          <w:tab w:val="clear" w:pos="1080"/>
          <w:tab w:val="left" w:pos="720"/>
        </w:tabs>
        <w:spacing w:before="120" w:after="120"/>
        <w:rPr>
          <w:szCs w:val="24"/>
        </w:rPr>
      </w:pPr>
      <w:r w:rsidRPr="001254EA">
        <w:t>Eligible Entities taking the equivalent of SPP FPTP service with rollover rights shall not be considered an LSE for that service unless the Eligible Entity provides an attestation to SPP confirming that the Eligible Entity is an LSE as defined in Attachment AE of the Tariff for such service</w:t>
      </w:r>
      <w:r>
        <w:t>;</w:t>
      </w:r>
      <w:commentRangeEnd w:id="132"/>
      <w:r>
        <w:rPr>
          <w:rStyle w:val="CommentReference"/>
        </w:rPr>
        <w:commentReference w:id="132"/>
      </w:r>
    </w:p>
    <w:p w:rsidR="006D5404" w:rsidRDefault="006D5404" w:rsidP="006D5404">
      <w:pPr>
        <w:pStyle w:val="Bullet2HRt"/>
        <w:numPr>
          <w:ilvl w:val="1"/>
          <w:numId w:val="37"/>
        </w:numPr>
        <w:tabs>
          <w:tab w:val="clear" w:pos="1080"/>
          <w:tab w:val="left" w:pos="720"/>
        </w:tabs>
        <w:spacing w:before="120" w:after="120"/>
        <w:rPr>
          <w:szCs w:val="24"/>
        </w:rPr>
      </w:pPr>
      <w:r>
        <w:rPr>
          <w:szCs w:val="24"/>
        </w:rPr>
        <w:t>For a GFA</w:t>
      </w:r>
      <w:r w:rsidRPr="00126CA9" w:rsidDel="00242BEA">
        <w:rPr>
          <w:szCs w:val="24"/>
        </w:rPr>
        <w:t xml:space="preserve"> </w:t>
      </w:r>
      <w:r>
        <w:rPr>
          <w:szCs w:val="24"/>
        </w:rPr>
        <w:t>with a source inside</w:t>
      </w:r>
      <w:r w:rsidRPr="00DE5580">
        <w:rPr>
          <w:szCs w:val="24"/>
        </w:rPr>
        <w:t xml:space="preserve"> the SPP Market </w:t>
      </w:r>
      <w:r>
        <w:rPr>
          <w:szCs w:val="24"/>
        </w:rPr>
        <w:t xml:space="preserve">that </w:t>
      </w:r>
      <w:r w:rsidRPr="00DE5580">
        <w:rPr>
          <w:szCs w:val="24"/>
        </w:rPr>
        <w:t>is not a specific Resource</w:t>
      </w:r>
      <w:r>
        <w:rPr>
          <w:szCs w:val="24"/>
        </w:rPr>
        <w:t xml:space="preserve"> or Resource Hub</w:t>
      </w:r>
      <w:r w:rsidRPr="00DE5580">
        <w:rPr>
          <w:szCs w:val="24"/>
        </w:rPr>
        <w:t xml:space="preserve">, </w:t>
      </w:r>
      <w:r>
        <w:rPr>
          <w:szCs w:val="24"/>
        </w:rPr>
        <w:t xml:space="preserve">the </w:t>
      </w:r>
      <w:r w:rsidRPr="00DE5580">
        <w:rPr>
          <w:szCs w:val="24"/>
        </w:rPr>
        <w:t>load Settlement Location that most closely correspond</w:t>
      </w:r>
      <w:r>
        <w:rPr>
          <w:szCs w:val="24"/>
        </w:rPr>
        <w:t>s</w:t>
      </w:r>
      <w:r w:rsidRPr="00DE5580">
        <w:rPr>
          <w:szCs w:val="24"/>
        </w:rPr>
        <w:t xml:space="preserve"> to the </w:t>
      </w:r>
      <w:r>
        <w:rPr>
          <w:szCs w:val="24"/>
        </w:rPr>
        <w:t>source on the reservation</w:t>
      </w:r>
      <w:r w:rsidRPr="00F70469">
        <w:rPr>
          <w:szCs w:val="24"/>
        </w:rPr>
        <w:t xml:space="preserve"> </w:t>
      </w:r>
      <w:r>
        <w:rPr>
          <w:szCs w:val="24"/>
        </w:rPr>
        <w:t xml:space="preserve">will be utilized as the source for candidate </w:t>
      </w:r>
      <w:commentRangeStart w:id="133"/>
      <w:r w:rsidRPr="001254EA">
        <w:t xml:space="preserve">LTCRs and/or </w:t>
      </w:r>
      <w:commentRangeEnd w:id="133"/>
      <w:r>
        <w:rPr>
          <w:rStyle w:val="CommentReference"/>
        </w:rPr>
        <w:commentReference w:id="133"/>
      </w:r>
      <w:r>
        <w:rPr>
          <w:szCs w:val="24"/>
        </w:rPr>
        <w:t>ARRs;</w:t>
      </w:r>
    </w:p>
    <w:p w:rsidR="006D5404" w:rsidRDefault="006D5404" w:rsidP="006D5404">
      <w:pPr>
        <w:pStyle w:val="Bullet2HRt"/>
        <w:numPr>
          <w:ilvl w:val="1"/>
          <w:numId w:val="37"/>
        </w:numPr>
        <w:tabs>
          <w:tab w:val="clear" w:pos="1080"/>
          <w:tab w:val="left" w:pos="720"/>
        </w:tabs>
        <w:spacing w:before="120" w:after="120"/>
        <w:rPr>
          <w:szCs w:val="24"/>
        </w:rPr>
      </w:pPr>
      <w:r>
        <w:rPr>
          <w:szCs w:val="24"/>
        </w:rPr>
        <w:t>For a GFA</w:t>
      </w:r>
      <w:r w:rsidRPr="00126CA9">
        <w:rPr>
          <w:szCs w:val="24"/>
        </w:rPr>
        <w:t xml:space="preserve"> </w:t>
      </w:r>
      <w:r>
        <w:rPr>
          <w:szCs w:val="24"/>
        </w:rPr>
        <w:t xml:space="preserve">with a source outside of the SPP Market, the interface associated with the Balancing Authority of the source will be utilized as the source for candidate </w:t>
      </w:r>
      <w:commentRangeStart w:id="134"/>
      <w:r w:rsidRPr="001254EA">
        <w:t>LTCRs and/or</w:t>
      </w:r>
      <w:r>
        <w:rPr>
          <w:szCs w:val="24"/>
        </w:rPr>
        <w:t xml:space="preserve"> </w:t>
      </w:r>
      <w:commentRangeEnd w:id="134"/>
      <w:r>
        <w:rPr>
          <w:rStyle w:val="CommentReference"/>
        </w:rPr>
        <w:commentReference w:id="134"/>
      </w:r>
      <w:r>
        <w:rPr>
          <w:szCs w:val="24"/>
        </w:rPr>
        <w:t>ARRs;</w:t>
      </w:r>
    </w:p>
    <w:p w:rsidR="006D5404" w:rsidRDefault="006D5404" w:rsidP="006D5404">
      <w:pPr>
        <w:pStyle w:val="Bullet2HRt"/>
        <w:numPr>
          <w:ilvl w:val="1"/>
          <w:numId w:val="37"/>
        </w:numPr>
        <w:tabs>
          <w:tab w:val="clear" w:pos="1080"/>
          <w:tab w:val="left" w:pos="720"/>
        </w:tabs>
        <w:spacing w:before="120" w:after="120"/>
        <w:rPr>
          <w:szCs w:val="24"/>
        </w:rPr>
      </w:pPr>
      <w:r>
        <w:rPr>
          <w:szCs w:val="24"/>
        </w:rPr>
        <w:t>For a GFA</w:t>
      </w:r>
      <w:r w:rsidRPr="00126CA9">
        <w:rPr>
          <w:szCs w:val="24"/>
        </w:rPr>
        <w:t xml:space="preserve"> </w:t>
      </w:r>
      <w:r>
        <w:rPr>
          <w:szCs w:val="24"/>
        </w:rPr>
        <w:t>with a sink outside of the SPP Market, the interface associated with the Balancing Authority of the sink will be utilized as the sink</w:t>
      </w:r>
      <w:commentRangeStart w:id="135"/>
      <w:r w:rsidRPr="001254EA">
        <w:t xml:space="preserve"> for candidate LTCRs and/or ARRs</w:t>
      </w:r>
      <w:commentRangeEnd w:id="135"/>
      <w:r>
        <w:rPr>
          <w:rStyle w:val="CommentReference"/>
        </w:rPr>
        <w:commentReference w:id="135"/>
      </w:r>
      <w:r>
        <w:rPr>
          <w:szCs w:val="24"/>
        </w:rPr>
        <w:t>;</w:t>
      </w:r>
    </w:p>
    <w:p w:rsidR="006D5404" w:rsidRDefault="006D5404" w:rsidP="006D5404">
      <w:pPr>
        <w:pStyle w:val="Bullet2HRt"/>
        <w:numPr>
          <w:ilvl w:val="1"/>
          <w:numId w:val="37"/>
        </w:numPr>
        <w:tabs>
          <w:tab w:val="clear" w:pos="1080"/>
          <w:tab w:val="left" w:pos="720"/>
        </w:tabs>
        <w:spacing w:before="120" w:after="120"/>
        <w:rPr>
          <w:szCs w:val="24"/>
        </w:rPr>
      </w:pPr>
      <w:r>
        <w:rPr>
          <w:szCs w:val="24"/>
        </w:rPr>
        <w:t xml:space="preserve">In addition, the parties to the GFA must agree that the transmission customer under the GFA is eligible to nominate the </w:t>
      </w:r>
      <w:commentRangeStart w:id="136"/>
      <w:r w:rsidRPr="001254EA">
        <w:t xml:space="preserve">LTCRs and/or </w:t>
      </w:r>
      <w:commentRangeEnd w:id="136"/>
      <w:r>
        <w:rPr>
          <w:rStyle w:val="CommentReference"/>
        </w:rPr>
        <w:commentReference w:id="136"/>
      </w:r>
      <w:r>
        <w:rPr>
          <w:szCs w:val="24"/>
        </w:rPr>
        <w:t>ARRs associated with the GFA and both parties must confirm such with SPP.  To the extent that the transmission service specified in the GFA is identified as the equivalent of SPP NITS, the transmission customer under the GFA must provide the historical non-coincident peak loads (“GFA Annual Peak Load”) being served under the GFA</w:t>
      </w:r>
      <w:r w:rsidRPr="00AB5F3E">
        <w:rPr>
          <w:color w:val="000000"/>
          <w:szCs w:val="24"/>
        </w:rPr>
        <w:t xml:space="preserve"> for the previous three years</w:t>
      </w:r>
      <w:r>
        <w:rPr>
          <w:szCs w:val="24"/>
        </w:rPr>
        <w:t>.</w:t>
      </w:r>
    </w:p>
    <w:p w:rsidR="006D5404" w:rsidRPr="00E651E8" w:rsidRDefault="006D5404" w:rsidP="006D5404">
      <w:pPr>
        <w:pStyle w:val="Bullet2HRt"/>
        <w:numPr>
          <w:ilvl w:val="0"/>
          <w:numId w:val="37"/>
        </w:numPr>
        <w:tabs>
          <w:tab w:val="clear" w:pos="1080"/>
          <w:tab w:val="left" w:pos="720"/>
        </w:tabs>
        <w:spacing w:before="120" w:after="120"/>
        <w:rPr>
          <w:szCs w:val="24"/>
        </w:rPr>
      </w:pPr>
      <w:r w:rsidRPr="00C66D1C">
        <w:t>For entities that have been granted GFA Carve Out treatment:</w:t>
      </w:r>
    </w:p>
    <w:p w:rsidR="006D5404" w:rsidRPr="00E651E8" w:rsidRDefault="006D5404" w:rsidP="006D5404">
      <w:pPr>
        <w:pStyle w:val="Bullet2HRt"/>
        <w:numPr>
          <w:ilvl w:val="1"/>
          <w:numId w:val="37"/>
        </w:numPr>
        <w:tabs>
          <w:tab w:val="clear" w:pos="1080"/>
          <w:tab w:val="left" w:pos="720"/>
        </w:tabs>
        <w:spacing w:before="120" w:after="120"/>
        <w:rPr>
          <w:szCs w:val="24"/>
        </w:rPr>
      </w:pPr>
      <w:r w:rsidRPr="00C66D1C">
        <w:lastRenderedPageBreak/>
        <w:t>GFAs with GFA Carve Out treatment are not eligible for candidate ARRs;</w:t>
      </w:r>
    </w:p>
    <w:p w:rsidR="006D5404" w:rsidRPr="00E651E8" w:rsidRDefault="006D5404" w:rsidP="006D5404">
      <w:pPr>
        <w:pStyle w:val="Bullet2HRt"/>
        <w:numPr>
          <w:ilvl w:val="1"/>
          <w:numId w:val="37"/>
        </w:numPr>
        <w:tabs>
          <w:tab w:val="clear" w:pos="1080"/>
          <w:tab w:val="left" w:pos="720"/>
        </w:tabs>
        <w:spacing w:before="120" w:after="120"/>
        <w:rPr>
          <w:szCs w:val="24"/>
        </w:rPr>
      </w:pPr>
      <w:r w:rsidRPr="00C66D1C">
        <w:t>The parties to the GFA must register the GFA with SPP, identify the GFA Responsible Entity, and provide source, sink and reserved capacity information.  SPP will obtain source, sink and reserved capacity information from the GFA registration for each monthly and seasonal period for the applicable year in which the transmission service spans the entire period;</w:t>
      </w:r>
    </w:p>
    <w:p w:rsidR="006D5404" w:rsidRPr="00E651E8" w:rsidRDefault="006D5404" w:rsidP="006D5404">
      <w:pPr>
        <w:pStyle w:val="Bullet2HRt"/>
        <w:numPr>
          <w:ilvl w:val="1"/>
          <w:numId w:val="37"/>
        </w:numPr>
        <w:tabs>
          <w:tab w:val="clear" w:pos="1080"/>
          <w:tab w:val="left" w:pos="720"/>
        </w:tabs>
        <w:spacing w:before="120" w:after="120"/>
        <w:rPr>
          <w:szCs w:val="24"/>
        </w:rPr>
      </w:pPr>
      <w:r w:rsidRPr="00C66D1C">
        <w:t>To the extent that the transmission service specified in the GFA Carve Out is identified as the equivalent of SPP NITS, the transmission customer under the GFA must provide the historical non-coincident annual peak loads (“GFA Annual Peak Load”) being served under the GFA for the previous three years.</w:t>
      </w:r>
    </w:p>
    <w:p w:rsidR="006D5404" w:rsidRPr="006D5404" w:rsidRDefault="006D5404" w:rsidP="006D5404">
      <w:pPr>
        <w:pStyle w:val="Heading3"/>
        <w:numPr>
          <w:ilvl w:val="2"/>
          <w:numId w:val="0"/>
        </w:numPr>
        <w:tabs>
          <w:tab w:val="num" w:pos="1080"/>
        </w:tabs>
        <w:spacing w:before="0" w:after="240"/>
        <w:ind w:left="1080" w:hanging="1080"/>
        <w:jc w:val="both"/>
        <w:rPr>
          <w:rFonts w:ascii="Times New Roman" w:hAnsi="Times New Roman"/>
          <w:bCs w:val="0"/>
          <w:sz w:val="24"/>
          <w:szCs w:val="24"/>
        </w:rPr>
      </w:pPr>
      <w:bookmarkStart w:id="137" w:name="_Toc259783699"/>
      <w:bookmarkStart w:id="138" w:name="_Toc260082619"/>
      <w:bookmarkStart w:id="139" w:name="_Toc260082862"/>
      <w:bookmarkStart w:id="140" w:name="_Toc260160004"/>
      <w:bookmarkStart w:id="141" w:name="_Toc260229364"/>
      <w:bookmarkStart w:id="142" w:name="_Toc260250650"/>
      <w:bookmarkStart w:id="143" w:name="_Toc260250922"/>
      <w:bookmarkStart w:id="144" w:name="_Toc259783700"/>
      <w:bookmarkStart w:id="145" w:name="_Toc260082620"/>
      <w:bookmarkStart w:id="146" w:name="_Toc260082863"/>
      <w:bookmarkStart w:id="147" w:name="_Toc260160005"/>
      <w:bookmarkStart w:id="148" w:name="_Toc260229365"/>
      <w:bookmarkStart w:id="149" w:name="_Toc260250651"/>
      <w:bookmarkStart w:id="150" w:name="_Toc260250923"/>
      <w:bookmarkStart w:id="151" w:name="_Toc381089990"/>
      <w:bookmarkEnd w:id="14"/>
      <w:bookmarkEnd w:id="15"/>
      <w:bookmarkEnd w:id="16"/>
      <w:bookmarkEnd w:id="130"/>
      <w:bookmarkEnd w:id="131"/>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6D5404">
        <w:rPr>
          <w:rFonts w:ascii="Times New Roman" w:hAnsi="Times New Roman"/>
          <w:bCs w:val="0"/>
          <w:sz w:val="24"/>
          <w:szCs w:val="24"/>
        </w:rPr>
        <w:t>5.1.2</w:t>
      </w:r>
      <w:r w:rsidRPr="006D5404">
        <w:rPr>
          <w:rFonts w:ascii="Times New Roman" w:hAnsi="Times New Roman"/>
          <w:bCs w:val="0"/>
          <w:sz w:val="24"/>
          <w:szCs w:val="24"/>
        </w:rPr>
        <w:tab/>
        <w:t xml:space="preserve">Candidate </w:t>
      </w:r>
      <w:commentRangeStart w:id="152"/>
      <w:r w:rsidRPr="006D5404">
        <w:rPr>
          <w:rFonts w:ascii="Times New Roman" w:hAnsi="Times New Roman"/>
          <w:bCs w:val="0"/>
          <w:sz w:val="24"/>
          <w:szCs w:val="24"/>
        </w:rPr>
        <w:t>LTCRs/</w:t>
      </w:r>
      <w:commentRangeEnd w:id="152"/>
      <w:r w:rsidRPr="006D5404">
        <w:rPr>
          <w:rStyle w:val="CommentReference"/>
          <w:rFonts w:ascii="Times New Roman" w:hAnsi="Times New Roman"/>
          <w:b w:val="0"/>
          <w:sz w:val="24"/>
          <w:szCs w:val="24"/>
        </w:rPr>
        <w:commentReference w:id="152"/>
      </w:r>
      <w:r w:rsidRPr="006D5404">
        <w:rPr>
          <w:rFonts w:ascii="Times New Roman" w:hAnsi="Times New Roman"/>
          <w:bCs w:val="0"/>
          <w:sz w:val="24"/>
          <w:szCs w:val="24"/>
        </w:rPr>
        <w:t>ARRs</w:t>
      </w:r>
      <w:bookmarkEnd w:id="151"/>
    </w:p>
    <w:p w:rsidR="006D5404" w:rsidRDefault="006D5404" w:rsidP="006D5404">
      <w:pPr>
        <w:pStyle w:val="Bullet1HRt"/>
        <w:tabs>
          <w:tab w:val="clear" w:pos="720"/>
          <w:tab w:val="clear" w:pos="1440"/>
        </w:tabs>
        <w:spacing w:before="120" w:after="120"/>
        <w:ind w:left="0" w:firstLine="0"/>
        <w:rPr>
          <w:szCs w:val="24"/>
        </w:rPr>
      </w:pPr>
      <w:r>
        <w:rPr>
          <w:szCs w:val="24"/>
        </w:rPr>
        <w:t xml:space="preserve">Following verification of Eligible Entity transmission service, candidate </w:t>
      </w:r>
      <w:commentRangeStart w:id="153"/>
      <w:r w:rsidRPr="001254EA">
        <w:t xml:space="preserve">LTCRs and </w:t>
      </w:r>
      <w:commentRangeEnd w:id="153"/>
      <w:r>
        <w:rPr>
          <w:rStyle w:val="CommentReference"/>
        </w:rPr>
        <w:commentReference w:id="153"/>
      </w:r>
      <w:r>
        <w:rPr>
          <w:szCs w:val="24"/>
        </w:rPr>
        <w:t>ARRs associated with such transmission service are assigned as follows:</w:t>
      </w:r>
      <w:r w:rsidRPr="00C939B9">
        <w:rPr>
          <w:szCs w:val="24"/>
        </w:rPr>
        <w:t xml:space="preserve"> </w:t>
      </w:r>
      <w:r>
        <w:rPr>
          <w:szCs w:val="24"/>
        </w:rPr>
        <w:t xml:space="preserve"> </w:t>
      </w:r>
    </w:p>
    <w:p w:rsidR="006D5404" w:rsidRDefault="006D5404" w:rsidP="006D5404">
      <w:pPr>
        <w:pStyle w:val="Bullet2HRt"/>
        <w:numPr>
          <w:ilvl w:val="0"/>
          <w:numId w:val="38"/>
        </w:numPr>
        <w:tabs>
          <w:tab w:val="clear" w:pos="1080"/>
          <w:tab w:val="clear" w:pos="2340"/>
          <w:tab w:val="num" w:pos="720"/>
        </w:tabs>
        <w:spacing w:before="120" w:after="120"/>
        <w:ind w:left="720" w:hanging="540"/>
        <w:rPr>
          <w:szCs w:val="24"/>
        </w:rPr>
      </w:pPr>
      <w:r>
        <w:rPr>
          <w:szCs w:val="24"/>
        </w:rPr>
        <w:t xml:space="preserve">For each Eligible Entity with NITS, the Eligible Entity’s NITS Candidate </w:t>
      </w:r>
      <w:commentRangeStart w:id="154"/>
      <w:r w:rsidRPr="001254EA">
        <w:t xml:space="preserve">LTCRs and/or </w:t>
      </w:r>
      <w:commentRangeEnd w:id="154"/>
      <w:r>
        <w:rPr>
          <w:rStyle w:val="CommentReference"/>
        </w:rPr>
        <w:commentReference w:id="154"/>
      </w:r>
      <w:r>
        <w:rPr>
          <w:szCs w:val="24"/>
        </w:rPr>
        <w:t xml:space="preserve">ARRs from a specific source is equal to the source Reserved Capacity.  </w:t>
      </w:r>
    </w:p>
    <w:p w:rsidR="006D5404" w:rsidRDefault="006D5404" w:rsidP="006D5404">
      <w:pPr>
        <w:pStyle w:val="Bullet2HRt"/>
        <w:numPr>
          <w:ilvl w:val="1"/>
          <w:numId w:val="38"/>
        </w:numPr>
        <w:tabs>
          <w:tab w:val="clear" w:pos="1080"/>
          <w:tab w:val="clear" w:pos="3060"/>
          <w:tab w:val="num" w:pos="1440"/>
        </w:tabs>
        <w:spacing w:before="120" w:after="120"/>
        <w:ind w:left="1440" w:hanging="540"/>
        <w:rPr>
          <w:szCs w:val="24"/>
        </w:rPr>
      </w:pPr>
      <w:r>
        <w:rPr>
          <w:szCs w:val="24"/>
        </w:rPr>
        <w:t xml:space="preserve">An Eligible Entity may </w:t>
      </w:r>
      <w:commentRangeStart w:id="155"/>
      <w:r w:rsidRPr="001254EA">
        <w:t>select</w:t>
      </w:r>
      <w:r>
        <w:rPr>
          <w:szCs w:val="24"/>
        </w:rPr>
        <w:t xml:space="preserve"> </w:t>
      </w:r>
      <w:commentRangeEnd w:id="155"/>
      <w:r>
        <w:rPr>
          <w:rStyle w:val="CommentReference"/>
        </w:rPr>
        <w:commentReference w:id="155"/>
      </w:r>
      <w:r>
        <w:rPr>
          <w:szCs w:val="24"/>
        </w:rPr>
        <w:t xml:space="preserve">NITS Candidate </w:t>
      </w:r>
      <w:commentRangeStart w:id="156"/>
      <w:r w:rsidRPr="001254EA">
        <w:t>LTCRs</w:t>
      </w:r>
      <w:commentRangeEnd w:id="156"/>
      <w:r>
        <w:rPr>
          <w:rStyle w:val="CommentReference"/>
        </w:rPr>
        <w:commentReference w:id="156"/>
      </w:r>
      <w:r>
        <w:rPr>
          <w:szCs w:val="24"/>
        </w:rPr>
        <w:t xml:space="preserve">, as described under Section </w:t>
      </w:r>
      <w:commentRangeStart w:id="157"/>
      <w:r>
        <w:rPr>
          <w:szCs w:val="24"/>
        </w:rPr>
        <w:t>5.2.6</w:t>
      </w:r>
      <w:commentRangeEnd w:id="157"/>
      <w:r>
        <w:rPr>
          <w:rStyle w:val="CommentReference"/>
        </w:rPr>
        <w:commentReference w:id="157"/>
      </w:r>
      <w:r>
        <w:rPr>
          <w:szCs w:val="24"/>
        </w:rPr>
        <w:t xml:space="preserve"> from a specific source to one or more sinks up to the amount of its </w:t>
      </w:r>
      <w:commentRangeStart w:id="158"/>
      <w:r w:rsidRPr="001254EA">
        <w:t xml:space="preserve">available </w:t>
      </w:r>
      <w:commentRangeEnd w:id="158"/>
      <w:r>
        <w:rPr>
          <w:rStyle w:val="CommentReference"/>
        </w:rPr>
        <w:commentReference w:id="158"/>
      </w:r>
      <w:r>
        <w:rPr>
          <w:szCs w:val="24"/>
        </w:rPr>
        <w:t xml:space="preserve">NITS Candidate </w:t>
      </w:r>
      <w:commentRangeStart w:id="159"/>
      <w:r w:rsidRPr="00B26253">
        <w:t xml:space="preserve"> </w:t>
      </w:r>
      <w:r w:rsidRPr="001254EA">
        <w:t>LTCRs</w:t>
      </w:r>
      <w:r>
        <w:rPr>
          <w:szCs w:val="24"/>
        </w:rPr>
        <w:t xml:space="preserve"> </w:t>
      </w:r>
      <w:commentRangeEnd w:id="159"/>
      <w:r>
        <w:rPr>
          <w:rStyle w:val="CommentReference"/>
        </w:rPr>
        <w:commentReference w:id="159"/>
      </w:r>
      <w:r>
        <w:rPr>
          <w:szCs w:val="24"/>
        </w:rPr>
        <w:t>associated with the source</w:t>
      </w:r>
      <w:ins w:id="160" w:author="Micha Bailey" w:date="2014-03-12T14:17:00Z">
        <w:r w:rsidR="0006281B">
          <w:rPr>
            <w:szCs w:val="24"/>
          </w:rPr>
          <w:t xml:space="preserve"> </w:t>
        </w:r>
        <w:r w:rsidR="0006281B">
          <w:t>such that the total of such selections does not exceed the lesser of the sum of NITS Candidate LTCRs or the</w:t>
        </w:r>
        <w:r w:rsidR="0006281B" w:rsidRPr="00E33ACA">
          <w:t xml:space="preserve"> limit described under Section </w:t>
        </w:r>
        <w:r w:rsidR="0006281B" w:rsidRPr="00E33ACA">
          <w:fldChar w:fldCharType="begin"/>
        </w:r>
        <w:r w:rsidR="0006281B" w:rsidRPr="00E33ACA">
          <w:instrText xml:space="preserve"> REF _Ref321988643 \n \h  \* MERGEFORMAT </w:instrText>
        </w:r>
      </w:ins>
      <w:ins w:id="161" w:author="Micha Bailey" w:date="2014-03-12T14:17:00Z">
        <w:r w:rsidR="0006281B" w:rsidRPr="00E33ACA">
          <w:fldChar w:fldCharType="separate"/>
        </w:r>
        <w:r w:rsidR="0006281B" w:rsidRPr="00E33ACA">
          <w:t>5.1.3</w:t>
        </w:r>
        <w:r w:rsidR="0006281B" w:rsidRPr="00E33ACA">
          <w:fldChar w:fldCharType="end"/>
        </w:r>
        <w:r w:rsidR="0006281B">
          <w:t>(1)(b) for that Eligible Entity</w:t>
        </w:r>
      </w:ins>
      <w:r>
        <w:rPr>
          <w:szCs w:val="24"/>
        </w:rPr>
        <w:t xml:space="preserve"> ;</w:t>
      </w:r>
      <w:commentRangeStart w:id="162"/>
    </w:p>
    <w:p w:rsidR="006D5404" w:rsidRDefault="006D5404" w:rsidP="006D5404">
      <w:pPr>
        <w:pStyle w:val="Bullet2HRt"/>
        <w:numPr>
          <w:ilvl w:val="1"/>
          <w:numId w:val="38"/>
        </w:numPr>
        <w:tabs>
          <w:tab w:val="clear" w:pos="1080"/>
          <w:tab w:val="clear" w:pos="3060"/>
          <w:tab w:val="num" w:pos="1440"/>
        </w:tabs>
        <w:spacing w:before="120" w:after="120"/>
        <w:ind w:left="1440" w:hanging="540"/>
        <w:rPr>
          <w:szCs w:val="24"/>
        </w:rPr>
      </w:pPr>
      <w:r w:rsidRPr="001254EA">
        <w:t>An Eligible Entity may nominate NITS Candidate ARRs, as described under Section 5.3.1 from a specific source to one or more sinks up to the amount of its NITS Candidate ARRs associated with the source subject to the total nomination limit described under Section 5.1.3</w:t>
      </w:r>
      <w:r>
        <w:t>.</w:t>
      </w:r>
      <w:commentRangeEnd w:id="162"/>
      <w:r>
        <w:rPr>
          <w:rStyle w:val="CommentReference"/>
        </w:rPr>
        <w:commentReference w:id="162"/>
      </w:r>
    </w:p>
    <w:p w:rsidR="006D5404" w:rsidRDefault="006D5404" w:rsidP="006D5404">
      <w:pPr>
        <w:pStyle w:val="Bullet2HRt"/>
        <w:numPr>
          <w:ilvl w:val="0"/>
          <w:numId w:val="38"/>
        </w:numPr>
        <w:tabs>
          <w:tab w:val="clear" w:pos="1080"/>
          <w:tab w:val="clear" w:pos="2340"/>
          <w:tab w:val="num" w:pos="720"/>
        </w:tabs>
        <w:spacing w:before="120" w:after="120"/>
        <w:ind w:left="720" w:hanging="540"/>
        <w:rPr>
          <w:szCs w:val="24"/>
        </w:rPr>
      </w:pPr>
      <w:r>
        <w:rPr>
          <w:szCs w:val="24"/>
        </w:rPr>
        <w:t xml:space="preserve">For each Eligible Entity with FPTP service, the Eligible Entity’s FPTP Candidate </w:t>
      </w:r>
      <w:commentRangeStart w:id="163"/>
      <w:r w:rsidRPr="001254EA">
        <w:t xml:space="preserve">LTCRs and/or </w:t>
      </w:r>
      <w:commentRangeEnd w:id="163"/>
      <w:r>
        <w:rPr>
          <w:rStyle w:val="CommentReference"/>
        </w:rPr>
        <w:commentReference w:id="163"/>
      </w:r>
      <w:r>
        <w:rPr>
          <w:szCs w:val="24"/>
        </w:rPr>
        <w:t>ARRs for a specific source and sink is equal to the Reserved Capacity associated with that source and sink.</w:t>
      </w:r>
      <w:r w:rsidRPr="00B24D00">
        <w:rPr>
          <w:szCs w:val="24"/>
        </w:rPr>
        <w:t xml:space="preserve"> </w:t>
      </w:r>
      <w:r>
        <w:rPr>
          <w:szCs w:val="24"/>
        </w:rPr>
        <w:t xml:space="preserve"> </w:t>
      </w:r>
    </w:p>
    <w:p w:rsidR="006D5404" w:rsidRDefault="006D5404" w:rsidP="006D5404">
      <w:pPr>
        <w:pStyle w:val="Bullet2HRt"/>
        <w:numPr>
          <w:ilvl w:val="1"/>
          <w:numId w:val="38"/>
        </w:numPr>
        <w:tabs>
          <w:tab w:val="clear" w:pos="1080"/>
          <w:tab w:val="clear" w:pos="3060"/>
          <w:tab w:val="num" w:pos="1440"/>
        </w:tabs>
        <w:spacing w:before="120" w:after="120"/>
        <w:ind w:left="1440" w:hanging="540"/>
        <w:rPr>
          <w:szCs w:val="24"/>
        </w:rPr>
      </w:pPr>
      <w:r>
        <w:rPr>
          <w:szCs w:val="24"/>
        </w:rPr>
        <w:t xml:space="preserve">An Eligible Entity may </w:t>
      </w:r>
      <w:commentRangeStart w:id="164"/>
      <w:r w:rsidRPr="001254EA">
        <w:t xml:space="preserve">select </w:t>
      </w:r>
      <w:commentRangeEnd w:id="164"/>
      <w:r>
        <w:rPr>
          <w:rStyle w:val="CommentReference"/>
        </w:rPr>
        <w:commentReference w:id="164"/>
      </w:r>
      <w:r>
        <w:rPr>
          <w:szCs w:val="24"/>
        </w:rPr>
        <w:t xml:space="preserve">FPTP Candidate </w:t>
      </w:r>
      <w:commentRangeStart w:id="165"/>
      <w:r w:rsidRPr="001254EA">
        <w:t>LTCRs</w:t>
      </w:r>
      <w:commentRangeEnd w:id="165"/>
      <w:r>
        <w:rPr>
          <w:rStyle w:val="CommentReference"/>
        </w:rPr>
        <w:commentReference w:id="165"/>
      </w:r>
      <w:r>
        <w:rPr>
          <w:szCs w:val="24"/>
        </w:rPr>
        <w:t xml:space="preserve">, as described under Section </w:t>
      </w:r>
      <w:commentRangeStart w:id="166"/>
      <w:r>
        <w:rPr>
          <w:szCs w:val="24"/>
        </w:rPr>
        <w:t>5.2.6</w:t>
      </w:r>
      <w:commentRangeEnd w:id="166"/>
      <w:r>
        <w:rPr>
          <w:rStyle w:val="CommentReference"/>
        </w:rPr>
        <w:commentReference w:id="166"/>
      </w:r>
      <w:r>
        <w:rPr>
          <w:szCs w:val="24"/>
        </w:rPr>
        <w:t xml:space="preserve">, for this specific source and sink up to the amount of its </w:t>
      </w:r>
      <w:commentRangeStart w:id="167"/>
      <w:r w:rsidRPr="001254EA">
        <w:t xml:space="preserve">available </w:t>
      </w:r>
      <w:commentRangeEnd w:id="167"/>
      <w:r>
        <w:rPr>
          <w:rStyle w:val="CommentReference"/>
        </w:rPr>
        <w:commentReference w:id="167"/>
      </w:r>
      <w:r>
        <w:rPr>
          <w:szCs w:val="24"/>
        </w:rPr>
        <w:t>FPTP Candidate</w:t>
      </w:r>
      <w:commentRangeStart w:id="168"/>
      <w:r>
        <w:rPr>
          <w:szCs w:val="24"/>
        </w:rPr>
        <w:t xml:space="preserve"> </w:t>
      </w:r>
      <w:r w:rsidRPr="001254EA">
        <w:t>LTCRs</w:t>
      </w:r>
      <w:ins w:id="169" w:author="Micha Bailey" w:date="2014-03-12T14:18:00Z">
        <w:r w:rsidR="0006281B">
          <w:t xml:space="preserve"> such that the total of such selections does not to exceed the total FPTP Candidate LTCRs available for that Eligible Entity</w:t>
        </w:r>
        <w:r w:rsidR="0006281B" w:rsidRPr="005E43E7">
          <w:t>.</w:t>
        </w:r>
      </w:ins>
      <w:r>
        <w:rPr>
          <w:szCs w:val="24"/>
        </w:rPr>
        <w:t xml:space="preserve"> </w:t>
      </w:r>
    </w:p>
    <w:p w:rsidR="006D5404" w:rsidRDefault="006D5404" w:rsidP="006D5404">
      <w:pPr>
        <w:pStyle w:val="Bullet2HRt"/>
        <w:numPr>
          <w:ilvl w:val="1"/>
          <w:numId w:val="38"/>
        </w:numPr>
        <w:tabs>
          <w:tab w:val="clear" w:pos="1080"/>
          <w:tab w:val="clear" w:pos="3060"/>
          <w:tab w:val="num" w:pos="1440"/>
        </w:tabs>
        <w:spacing w:before="120" w:after="120"/>
        <w:ind w:left="1440" w:hanging="540"/>
        <w:rPr>
          <w:szCs w:val="24"/>
        </w:rPr>
      </w:pPr>
      <w:r w:rsidRPr="001254EA">
        <w:t>An Eligible Entity may nominate FPTP Candidate ARRs, as described under Section 5.3.1, for this specific source and sink up to the amount of its FPTP Candidate ARRs subject to the total nomination limit described under Section 5.1.3</w:t>
      </w:r>
      <w:commentRangeEnd w:id="168"/>
      <w:r>
        <w:rPr>
          <w:rStyle w:val="CommentReference"/>
        </w:rPr>
        <w:commentReference w:id="168"/>
      </w:r>
    </w:p>
    <w:p w:rsidR="006D5404" w:rsidRDefault="006D5404" w:rsidP="006D5404">
      <w:pPr>
        <w:pStyle w:val="Bullet2HRt"/>
        <w:numPr>
          <w:ilvl w:val="0"/>
          <w:numId w:val="38"/>
        </w:numPr>
        <w:tabs>
          <w:tab w:val="clear" w:pos="1080"/>
          <w:tab w:val="clear" w:pos="2340"/>
          <w:tab w:val="num" w:pos="720"/>
        </w:tabs>
        <w:spacing w:before="120" w:after="120"/>
        <w:ind w:left="720" w:hanging="540"/>
        <w:rPr>
          <w:szCs w:val="24"/>
        </w:rPr>
      </w:pPr>
      <w:r>
        <w:rPr>
          <w:szCs w:val="24"/>
        </w:rPr>
        <w:lastRenderedPageBreak/>
        <w:t xml:space="preserve">For each Eligible Entity with equivalent NITS GFA service, the Eligible Entity’s GFA NITS Candidate </w:t>
      </w:r>
      <w:commentRangeStart w:id="170"/>
      <w:r w:rsidRPr="001254EA">
        <w:t xml:space="preserve">LTCRs and/or </w:t>
      </w:r>
      <w:commentRangeEnd w:id="170"/>
      <w:r>
        <w:rPr>
          <w:rStyle w:val="CommentReference"/>
        </w:rPr>
        <w:commentReference w:id="170"/>
      </w:r>
      <w:r>
        <w:rPr>
          <w:szCs w:val="24"/>
        </w:rPr>
        <w:t>ARRs from a specific source  is equal to the source Reserved Capacity.</w:t>
      </w:r>
      <w:r w:rsidRPr="00B24D00">
        <w:rPr>
          <w:szCs w:val="24"/>
        </w:rPr>
        <w:t xml:space="preserve"> </w:t>
      </w:r>
      <w:r>
        <w:rPr>
          <w:szCs w:val="24"/>
        </w:rPr>
        <w:t xml:space="preserve"> </w:t>
      </w:r>
    </w:p>
    <w:p w:rsidR="006D5404" w:rsidRDefault="006D5404" w:rsidP="006D5404">
      <w:pPr>
        <w:pStyle w:val="Bullet2HRt"/>
        <w:numPr>
          <w:ilvl w:val="1"/>
          <w:numId w:val="38"/>
        </w:numPr>
        <w:tabs>
          <w:tab w:val="clear" w:pos="1080"/>
          <w:tab w:val="clear" w:pos="3060"/>
          <w:tab w:val="num" w:pos="1440"/>
        </w:tabs>
        <w:spacing w:before="120" w:after="120"/>
        <w:ind w:left="1440" w:hanging="540"/>
        <w:rPr>
          <w:szCs w:val="24"/>
        </w:rPr>
      </w:pPr>
      <w:r>
        <w:rPr>
          <w:szCs w:val="24"/>
        </w:rPr>
        <w:t xml:space="preserve">An Eligible Entity may </w:t>
      </w:r>
      <w:commentRangeStart w:id="171"/>
      <w:r w:rsidRPr="001254EA">
        <w:t xml:space="preserve">select </w:t>
      </w:r>
      <w:commentRangeEnd w:id="171"/>
      <w:r>
        <w:rPr>
          <w:rStyle w:val="CommentReference"/>
        </w:rPr>
        <w:commentReference w:id="171"/>
      </w:r>
      <w:r>
        <w:rPr>
          <w:szCs w:val="24"/>
        </w:rPr>
        <w:t xml:space="preserve">GFA NITS Candidate </w:t>
      </w:r>
      <w:commentRangeStart w:id="172"/>
      <w:r w:rsidRPr="001254EA">
        <w:t>LTCRs</w:t>
      </w:r>
      <w:commentRangeEnd w:id="172"/>
      <w:r>
        <w:rPr>
          <w:rStyle w:val="CommentReference"/>
        </w:rPr>
        <w:commentReference w:id="172"/>
      </w:r>
      <w:r>
        <w:rPr>
          <w:szCs w:val="24"/>
        </w:rPr>
        <w:t>, as described under Section</w:t>
      </w:r>
      <w:commentRangeStart w:id="173"/>
      <w:r>
        <w:rPr>
          <w:szCs w:val="24"/>
        </w:rPr>
        <w:t xml:space="preserve"> 5.2.6</w:t>
      </w:r>
      <w:commentRangeEnd w:id="173"/>
      <w:r>
        <w:rPr>
          <w:rStyle w:val="CommentReference"/>
        </w:rPr>
        <w:commentReference w:id="173"/>
      </w:r>
      <w:r>
        <w:rPr>
          <w:szCs w:val="24"/>
        </w:rPr>
        <w:t xml:space="preserve">, from a specific source to one or more sinks up to the amount of its </w:t>
      </w:r>
      <w:commentRangeStart w:id="174"/>
      <w:r w:rsidRPr="001254EA">
        <w:t xml:space="preserve">available </w:t>
      </w:r>
      <w:commentRangeEnd w:id="174"/>
      <w:r>
        <w:rPr>
          <w:rStyle w:val="CommentReference"/>
        </w:rPr>
        <w:commentReference w:id="174"/>
      </w:r>
      <w:r>
        <w:rPr>
          <w:szCs w:val="24"/>
        </w:rPr>
        <w:t xml:space="preserve">GFA NITS Candidate </w:t>
      </w:r>
      <w:commentRangeStart w:id="175"/>
      <w:r>
        <w:rPr>
          <w:szCs w:val="24"/>
        </w:rPr>
        <w:t>LTCRs</w:t>
      </w:r>
      <w:ins w:id="176" w:author="Micha Bailey" w:date="2014-03-12T14:18:00Z">
        <w:r w:rsidR="0006281B" w:rsidRPr="007B07E9">
          <w:t xml:space="preserve"> </w:t>
        </w:r>
        <w:r w:rsidR="0006281B">
          <w:t>such that the total of such selections does not exceed the lesser of the sum of GFA NITS Candidate LTCRs or the</w:t>
        </w:r>
        <w:r w:rsidR="0006281B" w:rsidRPr="00250186">
          <w:t xml:space="preserve"> limit described under Section </w:t>
        </w:r>
        <w:r w:rsidR="0006281B" w:rsidRPr="00250186">
          <w:fldChar w:fldCharType="begin"/>
        </w:r>
        <w:r w:rsidR="0006281B" w:rsidRPr="00250186">
          <w:instrText xml:space="preserve"> REF _Ref321988643 \n \h  \* MERGEFORMAT </w:instrText>
        </w:r>
      </w:ins>
      <w:ins w:id="177" w:author="Micha Bailey" w:date="2014-03-12T14:18:00Z">
        <w:r w:rsidR="0006281B" w:rsidRPr="00250186">
          <w:fldChar w:fldCharType="separate"/>
        </w:r>
        <w:r w:rsidR="0006281B" w:rsidRPr="00250186">
          <w:t>5.1.3</w:t>
        </w:r>
        <w:r w:rsidR="0006281B" w:rsidRPr="00250186">
          <w:fldChar w:fldCharType="end"/>
        </w:r>
        <w:r w:rsidR="0006281B">
          <w:t>(3)(b) for that Eligible Entity</w:t>
        </w:r>
      </w:ins>
      <w:r>
        <w:rPr>
          <w:szCs w:val="24"/>
        </w:rPr>
        <w:t>;</w:t>
      </w:r>
    </w:p>
    <w:p w:rsidR="006D5404" w:rsidRDefault="006D5404" w:rsidP="006D5404">
      <w:pPr>
        <w:pStyle w:val="Bullet2HRt"/>
        <w:numPr>
          <w:ilvl w:val="1"/>
          <w:numId w:val="38"/>
        </w:numPr>
        <w:tabs>
          <w:tab w:val="clear" w:pos="1080"/>
          <w:tab w:val="clear" w:pos="3060"/>
          <w:tab w:val="num" w:pos="1440"/>
        </w:tabs>
        <w:spacing w:before="120" w:after="120"/>
        <w:ind w:left="1440" w:hanging="540"/>
        <w:rPr>
          <w:szCs w:val="24"/>
        </w:rPr>
      </w:pPr>
      <w:r w:rsidRPr="001254EA">
        <w:t>An Eligible Entity may nominate GFA NITS Candidate ARRs, as described under Section 5.3.1, for this specific source and sink up to the amount of its GFA NITS Candidate ARRs subject to the total nomination limit described under Section 5.1.3</w:t>
      </w:r>
      <w:r>
        <w:t>;</w:t>
      </w:r>
      <w:commentRangeEnd w:id="175"/>
      <w:r>
        <w:rPr>
          <w:rStyle w:val="CommentReference"/>
        </w:rPr>
        <w:commentReference w:id="175"/>
      </w:r>
    </w:p>
    <w:p w:rsidR="006D5404" w:rsidRDefault="006D5404" w:rsidP="006D5404">
      <w:pPr>
        <w:pStyle w:val="Bullet2HRt"/>
        <w:numPr>
          <w:ilvl w:val="0"/>
          <w:numId w:val="38"/>
        </w:numPr>
        <w:tabs>
          <w:tab w:val="clear" w:pos="1080"/>
          <w:tab w:val="clear" w:pos="2340"/>
          <w:tab w:val="num" w:pos="720"/>
        </w:tabs>
        <w:spacing w:before="120" w:after="120"/>
        <w:ind w:left="720" w:hanging="540"/>
        <w:rPr>
          <w:szCs w:val="24"/>
        </w:rPr>
      </w:pPr>
      <w:bookmarkStart w:id="178" w:name="_Toc259783702"/>
      <w:bookmarkStart w:id="179" w:name="_Toc260082622"/>
      <w:bookmarkStart w:id="180" w:name="_Toc260082865"/>
      <w:bookmarkEnd w:id="178"/>
      <w:bookmarkEnd w:id="179"/>
      <w:bookmarkEnd w:id="180"/>
      <w:r>
        <w:rPr>
          <w:szCs w:val="24"/>
        </w:rPr>
        <w:t xml:space="preserve">For each Eligible Entity with equivalent FPTP GFA service, the Eligible Entity’s GFA FPTP Candidate </w:t>
      </w:r>
      <w:commentRangeStart w:id="181"/>
      <w:r w:rsidRPr="001254EA">
        <w:t xml:space="preserve">LTCRs and/or </w:t>
      </w:r>
      <w:commentRangeEnd w:id="181"/>
      <w:r>
        <w:rPr>
          <w:rStyle w:val="CommentReference"/>
        </w:rPr>
        <w:commentReference w:id="181"/>
      </w:r>
      <w:r>
        <w:rPr>
          <w:szCs w:val="24"/>
        </w:rPr>
        <w:t>ARRs for a specific source and sink is equal to the Reserved Capacity associated with that source and sink.</w:t>
      </w:r>
      <w:r w:rsidRPr="00B24D00">
        <w:rPr>
          <w:szCs w:val="24"/>
        </w:rPr>
        <w:t xml:space="preserve"> </w:t>
      </w:r>
      <w:r>
        <w:rPr>
          <w:szCs w:val="24"/>
        </w:rPr>
        <w:t xml:space="preserve"> </w:t>
      </w:r>
    </w:p>
    <w:p w:rsidR="006D5404" w:rsidRDefault="006D5404" w:rsidP="006D5404">
      <w:pPr>
        <w:pStyle w:val="Bullet2HRt"/>
        <w:numPr>
          <w:ilvl w:val="1"/>
          <w:numId w:val="38"/>
        </w:numPr>
        <w:tabs>
          <w:tab w:val="clear" w:pos="1080"/>
          <w:tab w:val="clear" w:pos="3060"/>
          <w:tab w:val="num" w:pos="1440"/>
        </w:tabs>
        <w:spacing w:before="120" w:after="120"/>
        <w:ind w:left="1440" w:hanging="540"/>
        <w:rPr>
          <w:szCs w:val="24"/>
        </w:rPr>
      </w:pPr>
      <w:r>
        <w:rPr>
          <w:szCs w:val="24"/>
        </w:rPr>
        <w:t xml:space="preserve">An Eligible Entity may </w:t>
      </w:r>
      <w:commentRangeStart w:id="182"/>
      <w:r w:rsidRPr="001254EA">
        <w:t xml:space="preserve">select </w:t>
      </w:r>
      <w:commentRangeEnd w:id="182"/>
      <w:r>
        <w:rPr>
          <w:rStyle w:val="CommentReference"/>
        </w:rPr>
        <w:commentReference w:id="182"/>
      </w:r>
      <w:r>
        <w:rPr>
          <w:szCs w:val="24"/>
        </w:rPr>
        <w:t xml:space="preserve">GFA FPTP Candidate </w:t>
      </w:r>
      <w:commentRangeStart w:id="183"/>
      <w:r w:rsidRPr="001254EA">
        <w:t>LTCR</w:t>
      </w:r>
      <w:r>
        <w:rPr>
          <w:szCs w:val="24"/>
        </w:rPr>
        <w:t>s</w:t>
      </w:r>
      <w:commentRangeEnd w:id="183"/>
      <w:r>
        <w:rPr>
          <w:rStyle w:val="CommentReference"/>
        </w:rPr>
        <w:commentReference w:id="183"/>
      </w:r>
      <w:r>
        <w:rPr>
          <w:szCs w:val="24"/>
        </w:rPr>
        <w:t xml:space="preserve">, as described under Section </w:t>
      </w:r>
      <w:commentRangeStart w:id="184"/>
      <w:r>
        <w:rPr>
          <w:szCs w:val="24"/>
        </w:rPr>
        <w:t>5.2.6</w:t>
      </w:r>
      <w:commentRangeEnd w:id="184"/>
      <w:r>
        <w:rPr>
          <w:rStyle w:val="CommentReference"/>
        </w:rPr>
        <w:commentReference w:id="184"/>
      </w:r>
      <w:r>
        <w:rPr>
          <w:szCs w:val="24"/>
        </w:rPr>
        <w:t xml:space="preserve">, for this specific source and sink up to the amount of its </w:t>
      </w:r>
      <w:commentRangeStart w:id="185"/>
      <w:r w:rsidRPr="001254EA">
        <w:t xml:space="preserve">available </w:t>
      </w:r>
      <w:commentRangeEnd w:id="185"/>
      <w:r>
        <w:rPr>
          <w:rStyle w:val="CommentReference"/>
        </w:rPr>
        <w:commentReference w:id="185"/>
      </w:r>
      <w:r>
        <w:rPr>
          <w:szCs w:val="24"/>
        </w:rPr>
        <w:t xml:space="preserve">GFA FPTP Candidate </w:t>
      </w:r>
      <w:commentRangeStart w:id="186"/>
      <w:r w:rsidRPr="001254EA">
        <w:t>LTCRs</w:t>
      </w:r>
      <w:ins w:id="187" w:author="Micha Bailey" w:date="2014-03-12T14:18:00Z">
        <w:r w:rsidR="0006281B">
          <w:t xml:space="preserve"> such that the total of such selections does not to exceed the total GFA FPTP Candidate LTCRs available for that Eligible Entity</w:t>
        </w:r>
      </w:ins>
      <w:r>
        <w:rPr>
          <w:szCs w:val="24"/>
        </w:rPr>
        <w:t>.</w:t>
      </w:r>
    </w:p>
    <w:p w:rsidR="006D5404" w:rsidRDefault="006D5404" w:rsidP="006D5404">
      <w:pPr>
        <w:pStyle w:val="Bullet2HRt"/>
        <w:numPr>
          <w:ilvl w:val="1"/>
          <w:numId w:val="38"/>
        </w:numPr>
        <w:tabs>
          <w:tab w:val="clear" w:pos="1080"/>
          <w:tab w:val="clear" w:pos="3060"/>
          <w:tab w:val="num" w:pos="1440"/>
        </w:tabs>
        <w:spacing w:before="120" w:after="120"/>
        <w:ind w:left="1440" w:hanging="540"/>
        <w:rPr>
          <w:szCs w:val="24"/>
        </w:rPr>
      </w:pPr>
      <w:r w:rsidRPr="001254EA">
        <w:t>An Eligible Entity may nominate GFA FPTP Candidate ARRs, as described under Section 5.3.1, for this specific source and sink up to the amount of its GFA FPTP Candidate ARRs subject to the total nomination limit described under Section 5.1.3</w:t>
      </w:r>
      <w:r>
        <w:t>.</w:t>
      </w:r>
      <w:commentRangeEnd w:id="186"/>
      <w:r>
        <w:rPr>
          <w:rStyle w:val="CommentReference"/>
        </w:rPr>
        <w:commentReference w:id="186"/>
      </w:r>
    </w:p>
    <w:p w:rsidR="00632164" w:rsidRDefault="00632164" w:rsidP="008E003B">
      <w:pPr>
        <w:pStyle w:val="Header"/>
        <w:rPr>
          <w:rFonts w:ascii="Arial" w:hAnsi="Arial" w:cs="Arial"/>
          <w:sz w:val="20"/>
          <w:szCs w:val="20"/>
        </w:rPr>
      </w:pPr>
    </w:p>
    <w:p w:rsidR="006D5404" w:rsidRPr="006D5404" w:rsidRDefault="006D5404" w:rsidP="006D5404">
      <w:pPr>
        <w:pStyle w:val="Heading3"/>
        <w:rPr>
          <w:rFonts w:ascii="Times New Roman" w:hAnsi="Times New Roman"/>
          <w:sz w:val="24"/>
          <w:szCs w:val="24"/>
        </w:rPr>
      </w:pPr>
      <w:r w:rsidRPr="006D5404">
        <w:rPr>
          <w:rFonts w:ascii="Times New Roman" w:hAnsi="Times New Roman"/>
          <w:sz w:val="24"/>
          <w:szCs w:val="24"/>
        </w:rPr>
        <w:t>5.2.6</w:t>
      </w:r>
      <w:r w:rsidRPr="006D5404">
        <w:rPr>
          <w:rFonts w:ascii="Times New Roman" w:hAnsi="Times New Roman"/>
          <w:sz w:val="24"/>
          <w:szCs w:val="24"/>
        </w:rPr>
        <w:tab/>
        <w:t>LTCR Selections and Awards</w:t>
      </w:r>
    </w:p>
    <w:p w:rsidR="006D5404" w:rsidRPr="005E43E7" w:rsidRDefault="006D5404" w:rsidP="006D5404">
      <w:pPr>
        <w:tabs>
          <w:tab w:val="left" w:pos="720"/>
          <w:tab w:val="left" w:pos="2160"/>
        </w:tabs>
        <w:spacing w:before="120" w:line="300" w:lineRule="auto"/>
        <w:ind w:left="720" w:hanging="540"/>
      </w:pPr>
      <w:r w:rsidRPr="005E43E7">
        <w:t>(1)</w:t>
      </w:r>
      <w:r w:rsidRPr="005E43E7">
        <w:tab/>
        <w:t xml:space="preserve">All previously awarded LTCRs associated with qualified transmission service as verified under Section 5.1.1 and which were not surrendered, as described under Section 5.2.1, are automatically awarded as LTCRs for the current allocation year. </w:t>
      </w:r>
    </w:p>
    <w:p w:rsidR="006D5404" w:rsidRPr="005E43E7" w:rsidRDefault="006D5404" w:rsidP="006D5404">
      <w:pPr>
        <w:tabs>
          <w:tab w:val="left" w:pos="720"/>
          <w:tab w:val="left" w:pos="2160"/>
        </w:tabs>
        <w:spacing w:before="120" w:line="300" w:lineRule="auto"/>
        <w:ind w:left="720" w:hanging="540"/>
      </w:pPr>
      <w:r w:rsidRPr="005E43E7">
        <w:t>(2)</w:t>
      </w:r>
      <w:r w:rsidRPr="005E43E7">
        <w:tab/>
        <w:t>Additional available candidate LTCRs are selected and awarded in a single-round process.  Eligible Entities may select:</w:t>
      </w:r>
    </w:p>
    <w:p w:rsidR="006D5404" w:rsidRPr="005E43E7" w:rsidRDefault="006D5404" w:rsidP="006D5404">
      <w:pPr>
        <w:tabs>
          <w:tab w:val="left" w:pos="1440"/>
        </w:tabs>
        <w:spacing w:before="120" w:line="300" w:lineRule="auto"/>
        <w:ind w:left="1440" w:hanging="540"/>
      </w:pPr>
      <w:r w:rsidRPr="005E43E7">
        <w:t>(a)</w:t>
      </w:r>
      <w:r w:rsidRPr="005E43E7">
        <w:tab/>
        <w:t>Available LTCRs from their NITS Candidate LTCRs as described under Section 5.2.3 or Section 5.2.5, less any previously awarded LTCRs plus any surrendered LTCRs associated with NITS Candidate LTCRs;</w:t>
      </w:r>
    </w:p>
    <w:p w:rsidR="006D5404" w:rsidRPr="005E43E7" w:rsidRDefault="006D5404" w:rsidP="006D5404">
      <w:pPr>
        <w:tabs>
          <w:tab w:val="left" w:pos="1440"/>
        </w:tabs>
        <w:spacing w:before="120" w:line="300" w:lineRule="auto"/>
        <w:ind w:left="1440" w:hanging="540"/>
      </w:pPr>
      <w:r w:rsidRPr="005E43E7">
        <w:t>(b)</w:t>
      </w:r>
      <w:r w:rsidRPr="005E43E7">
        <w:tab/>
        <w:t xml:space="preserve">Available LTCRs from their FPTP Candidate LTCRs as described under Section 5.2.3 or Section 5.2.5, less any previously awarded LTCRs plus any surrendered LTCRs associated with FPTP Candidate LTCRs; </w:t>
      </w:r>
    </w:p>
    <w:p w:rsidR="006D5404" w:rsidRPr="005E43E7" w:rsidRDefault="006D5404" w:rsidP="006D5404">
      <w:pPr>
        <w:tabs>
          <w:tab w:val="left" w:pos="1440"/>
        </w:tabs>
        <w:spacing w:before="120" w:line="300" w:lineRule="auto"/>
        <w:ind w:left="1440" w:hanging="540"/>
      </w:pPr>
      <w:r w:rsidRPr="005E43E7">
        <w:lastRenderedPageBreak/>
        <w:t>(c)</w:t>
      </w:r>
      <w:r w:rsidRPr="005E43E7">
        <w:tab/>
        <w:t>Available LTCRs from their GFA NITS Candidate LTCRs as described under Section 5.2.3 or Section 5.2.5, less any previously awarded LTCRs plus any surrendered LTCRs associated with GFA NITS Candidate LTCRs;</w:t>
      </w:r>
    </w:p>
    <w:p w:rsidR="006D5404" w:rsidRPr="005E43E7" w:rsidRDefault="006D5404" w:rsidP="006D5404">
      <w:pPr>
        <w:tabs>
          <w:tab w:val="left" w:pos="1440"/>
        </w:tabs>
        <w:spacing w:before="120" w:line="300" w:lineRule="auto"/>
        <w:ind w:left="1440" w:hanging="540"/>
      </w:pPr>
      <w:r w:rsidRPr="005E43E7">
        <w:t>(d)</w:t>
      </w:r>
      <w:r w:rsidRPr="005E43E7">
        <w:tab/>
        <w:t xml:space="preserve">Available LTCRs from their GFA FPTP Candidate LTCRs as described under Section 5.2.3 or Section 5.2.5, less any previously awarded LTCRs plus any surrendered LTCRs associated with GFA FPTP Candidate LTCRs; </w:t>
      </w:r>
    </w:p>
    <w:p w:rsidR="006D5404" w:rsidRPr="005E43E7" w:rsidRDefault="006D5404" w:rsidP="006D5404">
      <w:pPr>
        <w:tabs>
          <w:tab w:val="left" w:pos="1800"/>
          <w:tab w:val="left" w:pos="2160"/>
        </w:tabs>
        <w:spacing w:before="120" w:line="300" w:lineRule="auto"/>
        <w:ind w:left="720" w:hanging="540"/>
      </w:pPr>
      <w:r w:rsidRPr="005E43E7">
        <w:t>(3)</w:t>
      </w:r>
      <w:r w:rsidRPr="005E43E7">
        <w:tab/>
        <w:t>Eligible Entities must submit the following information in order to select LTCRs:</w:t>
      </w:r>
    </w:p>
    <w:p w:rsidR="006D5404" w:rsidRPr="005E43E7" w:rsidRDefault="006D5404" w:rsidP="006D5404">
      <w:pPr>
        <w:spacing w:before="120" w:line="300" w:lineRule="auto"/>
        <w:ind w:left="1440" w:hanging="540"/>
      </w:pPr>
      <w:r w:rsidRPr="005E43E7">
        <w:t>(a)</w:t>
      </w:r>
      <w:r w:rsidRPr="005E43E7">
        <w:tab/>
        <w:t>Source (valid candidate LTCR source Settlement Location);</w:t>
      </w:r>
    </w:p>
    <w:p w:rsidR="006D5404" w:rsidRPr="005E43E7" w:rsidRDefault="006D5404" w:rsidP="006D5404">
      <w:pPr>
        <w:spacing w:before="120" w:line="300" w:lineRule="auto"/>
        <w:ind w:left="1440" w:hanging="540"/>
      </w:pPr>
      <w:r w:rsidRPr="005E43E7">
        <w:t>(b)</w:t>
      </w:r>
      <w:r w:rsidRPr="005E43E7">
        <w:tab/>
        <w:t>Sink (valid candidate LTCR sink Settlement Location);</w:t>
      </w:r>
    </w:p>
    <w:p w:rsidR="006D5404" w:rsidRPr="005E43E7" w:rsidRDefault="006D5404" w:rsidP="006D5404">
      <w:pPr>
        <w:spacing w:before="120" w:line="300" w:lineRule="auto"/>
        <w:ind w:left="1440" w:hanging="540"/>
      </w:pPr>
      <w:r w:rsidRPr="005E43E7">
        <w:t>(c)</w:t>
      </w:r>
      <w:r w:rsidRPr="005E43E7">
        <w:tab/>
        <w:t>Selected LTCR MW (total LTCR MW nominated from a source Settlement Location cannot exceed the source candidate available LTCR MW as previously determined under Section 5.2.3 or Section 5.2.5, less previously awarded LTCRs plus surrendered LTCRs);</w:t>
      </w:r>
    </w:p>
    <w:p w:rsidR="006D5404" w:rsidRDefault="006D5404" w:rsidP="007119F8">
      <w:pPr>
        <w:pStyle w:val="ParaText"/>
        <w:ind w:left="720" w:hanging="720"/>
      </w:pPr>
      <w:r w:rsidRPr="005E43E7">
        <w:t>(4)</w:t>
      </w:r>
      <w:r w:rsidRPr="005E43E7">
        <w:tab/>
        <w:t>All selected LTCRs are automatically awarded</w:t>
      </w:r>
      <w:ins w:id="188" w:author="Micha Bailey" w:date="2014-03-12T14:19:00Z">
        <w:r w:rsidR="0006281B">
          <w:t>, and these awarded LTCRs and those awarded as described under (1) above are directly converted to TCRs prior to the Annual ARR Allocation Process for the current allocation year</w:t>
        </w:r>
        <w:r w:rsidR="0006281B" w:rsidRPr="005E43E7">
          <w:t>.</w:t>
        </w:r>
      </w:ins>
    </w:p>
    <w:p w:rsidR="0014543A" w:rsidRPr="0014543A" w:rsidRDefault="0014543A" w:rsidP="0014543A">
      <w:pPr>
        <w:pStyle w:val="Heading3"/>
        <w:numPr>
          <w:ilvl w:val="2"/>
          <w:numId w:val="0"/>
        </w:numPr>
        <w:tabs>
          <w:tab w:val="num" w:pos="1080"/>
        </w:tabs>
        <w:spacing w:after="240"/>
        <w:ind w:left="1080" w:hanging="1080"/>
        <w:jc w:val="both"/>
        <w:rPr>
          <w:rFonts w:ascii="Times New Roman" w:hAnsi="Times New Roman"/>
          <w:bCs w:val="0"/>
          <w:sz w:val="24"/>
          <w:szCs w:val="24"/>
        </w:rPr>
      </w:pPr>
      <w:bookmarkStart w:id="189" w:name="_Ref260828818"/>
      <w:bookmarkStart w:id="190" w:name="_Ref260901261"/>
      <w:bookmarkStart w:id="191" w:name="_Toc263173419"/>
      <w:bookmarkStart w:id="192" w:name="_Toc263173648"/>
      <w:bookmarkStart w:id="193" w:name="_Toc263173836"/>
      <w:bookmarkStart w:id="194" w:name="_Toc263174248"/>
      <w:bookmarkStart w:id="195" w:name="_Toc263235147"/>
      <w:bookmarkStart w:id="196" w:name="_Toc263235791"/>
      <w:bookmarkStart w:id="197" w:name="_Toc263429534"/>
      <w:bookmarkStart w:id="198" w:name="_Toc263795574"/>
      <w:bookmarkStart w:id="199" w:name="_Toc266869750"/>
      <w:bookmarkStart w:id="200" w:name="_Toc381089995"/>
      <w:r w:rsidRPr="0014543A">
        <w:rPr>
          <w:rFonts w:ascii="Times New Roman" w:hAnsi="Times New Roman"/>
          <w:bCs w:val="0"/>
          <w:sz w:val="24"/>
          <w:szCs w:val="24"/>
        </w:rPr>
        <w:t>5.3.3</w:t>
      </w:r>
      <w:r w:rsidRPr="0014543A">
        <w:rPr>
          <w:rFonts w:ascii="Times New Roman" w:hAnsi="Times New Roman"/>
          <w:bCs w:val="0"/>
          <w:sz w:val="24"/>
          <w:szCs w:val="24"/>
        </w:rPr>
        <w:tab/>
        <w:t>Simultaneous Feasibility</w:t>
      </w:r>
      <w:bookmarkEnd w:id="189"/>
      <w:bookmarkEnd w:id="190"/>
      <w:bookmarkEnd w:id="191"/>
      <w:bookmarkEnd w:id="192"/>
      <w:bookmarkEnd w:id="193"/>
      <w:bookmarkEnd w:id="194"/>
      <w:bookmarkEnd w:id="195"/>
      <w:bookmarkEnd w:id="196"/>
      <w:bookmarkEnd w:id="197"/>
      <w:bookmarkEnd w:id="198"/>
      <w:bookmarkEnd w:id="199"/>
      <w:bookmarkEnd w:id="200"/>
    </w:p>
    <w:p w:rsidR="0014543A" w:rsidRDefault="0014543A" w:rsidP="0014543A">
      <w:pPr>
        <w:pStyle w:val="1"/>
        <w:tabs>
          <w:tab w:val="clear" w:pos="720"/>
          <w:tab w:val="clear" w:pos="1080"/>
        </w:tabs>
        <w:spacing w:before="120" w:after="120"/>
        <w:ind w:left="0" w:firstLine="0"/>
        <w:rPr>
          <w:szCs w:val="24"/>
        </w:rPr>
      </w:pPr>
      <w:r>
        <w:rPr>
          <w:szCs w:val="24"/>
        </w:rPr>
        <w:t xml:space="preserve">A </w:t>
      </w:r>
      <w:commentRangeStart w:id="201"/>
      <w:r>
        <w:rPr>
          <w:szCs w:val="24"/>
        </w:rPr>
        <w:t xml:space="preserve">simultaneous feasibility test (SFT) </w:t>
      </w:r>
      <w:commentRangeEnd w:id="201"/>
      <w:r>
        <w:rPr>
          <w:rStyle w:val="CommentReference"/>
        </w:rPr>
        <w:commentReference w:id="201"/>
      </w:r>
      <w:r>
        <w:rPr>
          <w:szCs w:val="24"/>
        </w:rPr>
        <w:t>is performed in each round to ensure that the nominated candidate ARRs, with nominated candidate ARR MW modeled as generation injection at the source and a corresponding load withdrawal at the sink, do not violate any normal transmission line thermal ratings under normal system conditions and do not violate short-term Emergency transmission line thermal ratings following a single contingency (N-1 contingency analysis).  The SFT is performed consistent with the transmission system loading analysis that is performed as part the Security Constrained Economic Dispatch process in the DA Market</w:t>
      </w:r>
      <w:r w:rsidRPr="000C0772">
        <w:rPr>
          <w:szCs w:val="24"/>
        </w:rPr>
        <w:t xml:space="preserve"> </w:t>
      </w:r>
      <w:r>
        <w:rPr>
          <w:szCs w:val="24"/>
        </w:rPr>
        <w:t>and includes consideration of the impact of Parallel Flow.</w:t>
      </w:r>
      <w:r w:rsidRPr="005E43E7">
        <w:t xml:space="preserve">  </w:t>
      </w:r>
      <w:commentRangeStart w:id="202"/>
      <w:r w:rsidRPr="005E43E7">
        <w:t>100% of the SPP Residual Transmission System Capability, as defined under Section 5.2.2(2), is made available during the analysis.</w:t>
      </w:r>
      <w:commentRangeEnd w:id="202"/>
      <w:r>
        <w:rPr>
          <w:rStyle w:val="CommentReference"/>
        </w:rPr>
        <w:commentReference w:id="202"/>
      </w:r>
    </w:p>
    <w:p w:rsidR="0014543A" w:rsidRDefault="0014543A" w:rsidP="0014543A">
      <w:pPr>
        <w:pStyle w:val="1"/>
        <w:numPr>
          <w:ilvl w:val="0"/>
          <w:numId w:val="40"/>
        </w:numPr>
        <w:tabs>
          <w:tab w:val="clear" w:pos="1800"/>
        </w:tabs>
        <w:spacing w:before="120" w:after="120"/>
        <w:ind w:left="720" w:hanging="540"/>
        <w:rPr>
          <w:szCs w:val="24"/>
        </w:rPr>
      </w:pPr>
      <w:bookmarkStart w:id="203" w:name="OLE_LINK182"/>
      <w:bookmarkStart w:id="204" w:name="OLE_LINK183"/>
      <w:r>
        <w:rPr>
          <w:szCs w:val="24"/>
        </w:rPr>
        <w:t xml:space="preserve">The SPP Transmission System topology used in the SFT is the most up-to-date Network Model for </w:t>
      </w:r>
      <w:bookmarkEnd w:id="203"/>
      <w:bookmarkEnd w:id="204"/>
      <w:r>
        <w:rPr>
          <w:szCs w:val="24"/>
        </w:rPr>
        <w:t>all allocation periods, updated for planned maintenance outages.</w:t>
      </w:r>
    </w:p>
    <w:p w:rsidR="0014543A" w:rsidRDefault="0014543A" w:rsidP="0014543A">
      <w:pPr>
        <w:pStyle w:val="1"/>
        <w:numPr>
          <w:ilvl w:val="0"/>
          <w:numId w:val="41"/>
        </w:numPr>
        <w:tabs>
          <w:tab w:val="clear" w:pos="1080"/>
          <w:tab w:val="clear" w:pos="1800"/>
          <w:tab w:val="left" w:pos="1440"/>
        </w:tabs>
        <w:spacing w:before="120" w:after="120"/>
        <w:ind w:left="1440" w:hanging="540"/>
        <w:rPr>
          <w:szCs w:val="24"/>
        </w:rPr>
      </w:pPr>
      <w:bookmarkStart w:id="205" w:name="OLE_LINK1"/>
      <w:bookmarkStart w:id="206" w:name="OLE_LINK2"/>
      <w:r>
        <w:rPr>
          <w:szCs w:val="24"/>
        </w:rPr>
        <w:t xml:space="preserve">For withdrawals at Settlement Locations containing more than one PNode, SPP will distribute the Settlement Location withdrawal down to the PNode level using load distribution percentages from the peak hour of the corresponding most recent historical period (i.e. June, July, August, September, </w:t>
      </w:r>
      <w:proofErr w:type="gramStart"/>
      <w:r>
        <w:rPr>
          <w:szCs w:val="24"/>
        </w:rPr>
        <w:t>Fall</w:t>
      </w:r>
      <w:proofErr w:type="gramEnd"/>
      <w:r>
        <w:rPr>
          <w:szCs w:val="24"/>
        </w:rPr>
        <w:t xml:space="preserve">, Winter and Spring).  These load distribution percentages are calculated using the methodology described under Section </w:t>
      </w:r>
      <w:r>
        <w:rPr>
          <w:szCs w:val="24"/>
        </w:rPr>
        <w:fldChar w:fldCharType="begin"/>
      </w:r>
      <w:r>
        <w:rPr>
          <w:szCs w:val="24"/>
        </w:rPr>
        <w:instrText xml:space="preserve"> REF _Ref258484770 \r \h </w:instrText>
      </w:r>
      <w:r>
        <w:rPr>
          <w:szCs w:val="24"/>
        </w:rPr>
      </w:r>
      <w:r>
        <w:rPr>
          <w:szCs w:val="24"/>
        </w:rPr>
        <w:fldChar w:fldCharType="separate"/>
      </w:r>
      <w:r>
        <w:rPr>
          <w:szCs w:val="24"/>
        </w:rPr>
        <w:t>4.1.2.1.6</w:t>
      </w:r>
      <w:r>
        <w:rPr>
          <w:szCs w:val="24"/>
        </w:rPr>
        <w:fldChar w:fldCharType="end"/>
      </w:r>
      <w:r>
        <w:rPr>
          <w:szCs w:val="24"/>
        </w:rPr>
        <w:t>.</w:t>
      </w:r>
      <w:bookmarkEnd w:id="205"/>
      <w:bookmarkEnd w:id="206"/>
    </w:p>
    <w:p w:rsidR="0014543A" w:rsidRPr="00D6635D" w:rsidRDefault="0014543A" w:rsidP="0014543A">
      <w:pPr>
        <w:pStyle w:val="1"/>
        <w:numPr>
          <w:ilvl w:val="0"/>
          <w:numId w:val="41"/>
        </w:numPr>
        <w:tabs>
          <w:tab w:val="clear" w:pos="1080"/>
          <w:tab w:val="clear" w:pos="1800"/>
          <w:tab w:val="left" w:pos="1440"/>
        </w:tabs>
        <w:spacing w:before="120" w:after="120"/>
        <w:ind w:left="1440" w:hanging="540"/>
        <w:rPr>
          <w:szCs w:val="24"/>
        </w:rPr>
      </w:pPr>
      <w:r w:rsidRPr="00E116BB">
        <w:t>For injections at Market Hubs, SPP will distribute the hub injection down to the PNode level on a pro-rata basis using the weighting factors defined when the hub is created.</w:t>
      </w:r>
    </w:p>
    <w:p w:rsidR="0014543A" w:rsidRDefault="0014543A" w:rsidP="0014543A">
      <w:pPr>
        <w:pStyle w:val="1"/>
        <w:numPr>
          <w:ilvl w:val="0"/>
          <w:numId w:val="41"/>
        </w:numPr>
        <w:tabs>
          <w:tab w:val="clear" w:pos="1080"/>
          <w:tab w:val="clear" w:pos="1800"/>
          <w:tab w:val="left" w:pos="1440"/>
        </w:tabs>
        <w:spacing w:before="120" w:after="120"/>
        <w:ind w:left="1440" w:hanging="540"/>
        <w:rPr>
          <w:szCs w:val="24"/>
        </w:rPr>
      </w:pPr>
      <w:r w:rsidRPr="00C66D1C">
        <w:lastRenderedPageBreak/>
        <w:t>For GFA Carve Outs</w:t>
      </w:r>
      <w:r w:rsidRPr="00021C60">
        <w:t xml:space="preserve"> that will be nominated</w:t>
      </w:r>
      <w:r w:rsidRPr="00C66D1C">
        <w:t xml:space="preserve">, an injection at the source and a corresponding withdrawal at the sink will be included in the Annual ARR Allocation Process and will be subject to SFT.  The capacity used in the allocation will be the maximum allowable nomination as defined in section </w:t>
      </w:r>
      <w:r>
        <w:fldChar w:fldCharType="begin"/>
      </w:r>
      <w:r>
        <w:instrText xml:space="preserve"> REF _Ref260831832 \n \h </w:instrText>
      </w:r>
      <w:r>
        <w:fldChar w:fldCharType="separate"/>
      </w:r>
      <w:r>
        <w:t>5.2.2</w:t>
      </w:r>
      <w:r>
        <w:fldChar w:fldCharType="end"/>
      </w:r>
      <w:r w:rsidRPr="00C66D1C">
        <w:t>.</w:t>
      </w:r>
    </w:p>
    <w:p w:rsidR="0014543A" w:rsidRDefault="0014543A" w:rsidP="0014543A">
      <w:pPr>
        <w:pStyle w:val="1"/>
        <w:numPr>
          <w:ilvl w:val="0"/>
          <w:numId w:val="40"/>
        </w:numPr>
        <w:tabs>
          <w:tab w:val="clear" w:pos="1800"/>
        </w:tabs>
        <w:spacing w:before="120" w:after="120"/>
        <w:ind w:left="720" w:hanging="540"/>
        <w:rPr>
          <w:szCs w:val="24"/>
        </w:rPr>
      </w:pPr>
      <w:commentRangeStart w:id="207"/>
      <w:r w:rsidRPr="005E43E7">
        <w:t xml:space="preserve">All previously awarded </w:t>
      </w:r>
      <w:ins w:id="208" w:author="Micha Bailey" w:date="2014-03-12T14:23:00Z">
        <w:r w:rsidR="007119F8">
          <w:t xml:space="preserve">TCRs associated with </w:t>
        </w:r>
      </w:ins>
      <w:r w:rsidRPr="005E43E7">
        <w:t>LTCRs that have not been surrendered are modeled as fixed injections/withdrawals</w:t>
      </w:r>
      <w:r>
        <w:t>.</w:t>
      </w:r>
    </w:p>
    <w:commentRangeEnd w:id="207"/>
    <w:p w:rsidR="0014543A" w:rsidRDefault="0014543A" w:rsidP="0014543A">
      <w:pPr>
        <w:pStyle w:val="1"/>
        <w:tabs>
          <w:tab w:val="clear" w:pos="720"/>
          <w:tab w:val="clear" w:pos="1080"/>
          <w:tab w:val="clear" w:pos="1800"/>
        </w:tabs>
        <w:spacing w:before="120" w:after="120"/>
        <w:ind w:left="0" w:firstLine="0"/>
        <w:rPr>
          <w:szCs w:val="24"/>
        </w:rPr>
      </w:pPr>
      <w:r>
        <w:rPr>
          <w:rStyle w:val="CommentReference"/>
        </w:rPr>
        <w:commentReference w:id="207"/>
      </w:r>
      <w:r>
        <w:rPr>
          <w:szCs w:val="24"/>
        </w:rPr>
        <w:t>Every six (6) months for the first two (2) years after implementation of the Integrated Marketplace, SPP will analyze the net funding of TCRs through the Day-Ahead Market and report to the MWG.  In the event the cumulative funding is at or below 90% or above 100%, MWG may approve an additional adjustment of all subsequent monthly auctions and the month of June in the annual auction of the normal and emergency ratings of all flowgates and monitored transmission system elements in (2) above.</w:t>
      </w:r>
    </w:p>
    <w:p w:rsidR="0014543A" w:rsidRPr="0014543A" w:rsidRDefault="0014543A" w:rsidP="0014543A">
      <w:pPr>
        <w:pStyle w:val="Heading3"/>
        <w:rPr>
          <w:rFonts w:ascii="Times New Roman" w:hAnsi="Times New Roman"/>
          <w:bCs w:val="0"/>
          <w:sz w:val="24"/>
          <w:szCs w:val="24"/>
        </w:rPr>
      </w:pPr>
      <w:bookmarkStart w:id="209" w:name="_Ref260143966"/>
      <w:bookmarkStart w:id="210" w:name="_Toc263173420"/>
      <w:bookmarkStart w:id="211" w:name="_Toc263173649"/>
      <w:bookmarkStart w:id="212" w:name="_Toc263173837"/>
      <w:bookmarkStart w:id="213" w:name="_Toc263174249"/>
      <w:bookmarkStart w:id="214" w:name="_Toc263235148"/>
      <w:bookmarkStart w:id="215" w:name="_Toc263235792"/>
      <w:bookmarkStart w:id="216" w:name="_Toc263429535"/>
      <w:bookmarkStart w:id="217" w:name="_Toc263795575"/>
      <w:bookmarkStart w:id="218" w:name="_Toc266869751"/>
      <w:bookmarkStart w:id="219" w:name="_Toc381089996"/>
      <w:bookmarkStart w:id="220" w:name="OLE_LINK231"/>
      <w:bookmarkStart w:id="221" w:name="OLE_LINK232"/>
      <w:r w:rsidRPr="0014543A">
        <w:rPr>
          <w:rFonts w:ascii="Times New Roman" w:hAnsi="Times New Roman"/>
          <w:bCs w:val="0"/>
          <w:sz w:val="24"/>
          <w:szCs w:val="24"/>
        </w:rPr>
        <w:t>5.3.4</w:t>
      </w:r>
      <w:r w:rsidRPr="0014543A">
        <w:rPr>
          <w:rFonts w:ascii="Times New Roman" w:hAnsi="Times New Roman"/>
          <w:bCs w:val="0"/>
          <w:sz w:val="24"/>
          <w:szCs w:val="24"/>
        </w:rPr>
        <w:tab/>
        <w:t>Annual ARR Awards</w:t>
      </w:r>
      <w:bookmarkEnd w:id="209"/>
      <w:bookmarkEnd w:id="210"/>
      <w:bookmarkEnd w:id="211"/>
      <w:bookmarkEnd w:id="212"/>
      <w:bookmarkEnd w:id="213"/>
      <w:bookmarkEnd w:id="214"/>
      <w:bookmarkEnd w:id="215"/>
      <w:bookmarkEnd w:id="216"/>
      <w:bookmarkEnd w:id="217"/>
      <w:bookmarkEnd w:id="218"/>
      <w:bookmarkEnd w:id="219"/>
    </w:p>
    <w:p w:rsidR="0014543A" w:rsidRDefault="0014543A" w:rsidP="0014543A">
      <w:pPr>
        <w:pStyle w:val="1"/>
        <w:tabs>
          <w:tab w:val="clear" w:pos="720"/>
          <w:tab w:val="clear" w:pos="1080"/>
        </w:tabs>
        <w:spacing w:before="120" w:after="120"/>
        <w:ind w:left="0" w:firstLine="0"/>
        <w:rPr>
          <w:szCs w:val="24"/>
        </w:rPr>
      </w:pPr>
      <w:commentRangeStart w:id="222"/>
      <w:del w:id="223" w:author="Micha Bailey" w:date="2014-03-12T14:23:00Z">
        <w:r w:rsidRPr="005E43E7" w:rsidDel="007119F8">
          <w:delText>All LTCR awards are automatically converted to ARR awards which are then automatically self-converted to TCRs in the Annual TCR Auction</w:delText>
        </w:r>
        <w:r w:rsidDel="007119F8">
          <w:delText>.</w:delText>
        </w:r>
        <w:r w:rsidDel="007119F8">
          <w:rPr>
            <w:szCs w:val="24"/>
          </w:rPr>
          <w:delText xml:space="preserve"> </w:delText>
        </w:r>
      </w:del>
      <w:commentRangeEnd w:id="222"/>
      <w:r>
        <w:rPr>
          <w:rStyle w:val="CommentReference"/>
        </w:rPr>
        <w:commentReference w:id="222"/>
      </w:r>
      <w:r>
        <w:rPr>
          <w:szCs w:val="24"/>
        </w:rPr>
        <w:t xml:space="preserve">If all of the nominated </w:t>
      </w:r>
      <w:proofErr w:type="gramStart"/>
      <w:r>
        <w:rPr>
          <w:szCs w:val="24"/>
        </w:rPr>
        <w:t>candidate ARRs are</w:t>
      </w:r>
      <w:proofErr w:type="gramEnd"/>
      <w:r>
        <w:rPr>
          <w:szCs w:val="24"/>
        </w:rPr>
        <w:t xml:space="preserve"> confirmed feasible, all nominated candidate ARRs are awarded.  If the nominated candidate ARRs are not feasible, the amount of nominated candidate ARRs to be awarded will be reduced using a weighted least squares method.  The weighted least squares method minimizes the least squares deviation from the nominated candidate ARR MW weighted by the reciprocal of the nominations resulting in a higher percentage ARR reduction for those nominations having the greatest impact on the constraints.  ARR reductions associated with nominations that have an equal impact on the constraints are reduced by the same percentage.   </w:t>
      </w:r>
    </w:p>
    <w:p w:rsidR="0014543A" w:rsidRPr="0014543A" w:rsidRDefault="0014543A" w:rsidP="0014543A">
      <w:pPr>
        <w:pStyle w:val="Heading3"/>
        <w:numPr>
          <w:ilvl w:val="2"/>
          <w:numId w:val="0"/>
        </w:numPr>
        <w:tabs>
          <w:tab w:val="num" w:pos="1080"/>
        </w:tabs>
        <w:spacing w:before="0" w:after="240"/>
        <w:ind w:left="1080" w:hanging="1080"/>
        <w:jc w:val="both"/>
        <w:rPr>
          <w:rFonts w:ascii="Times New Roman" w:hAnsi="Times New Roman"/>
          <w:bCs w:val="0"/>
          <w:sz w:val="24"/>
          <w:szCs w:val="24"/>
        </w:rPr>
      </w:pPr>
      <w:bookmarkStart w:id="224" w:name="_Toc263173421"/>
      <w:bookmarkStart w:id="225" w:name="_Toc263173650"/>
      <w:bookmarkStart w:id="226" w:name="_Toc263173838"/>
      <w:bookmarkStart w:id="227" w:name="_Toc263174250"/>
      <w:bookmarkStart w:id="228" w:name="_Toc263235150"/>
      <w:bookmarkStart w:id="229" w:name="_Toc263235794"/>
      <w:bookmarkStart w:id="230" w:name="_Toc263429537"/>
      <w:bookmarkStart w:id="231" w:name="_Toc263795577"/>
      <w:bookmarkStart w:id="232" w:name="_Toc266869753"/>
      <w:bookmarkStart w:id="233" w:name="_Ref272242180"/>
      <w:bookmarkStart w:id="234" w:name="_Ref272398162"/>
      <w:bookmarkStart w:id="235" w:name="_Toc381089998"/>
      <w:bookmarkEnd w:id="220"/>
      <w:bookmarkEnd w:id="221"/>
      <w:r w:rsidRPr="0014543A">
        <w:rPr>
          <w:rFonts w:ascii="Times New Roman" w:hAnsi="Times New Roman"/>
          <w:bCs w:val="0"/>
          <w:sz w:val="24"/>
          <w:szCs w:val="24"/>
        </w:rPr>
        <w:t>5.4.1</w:t>
      </w:r>
      <w:r w:rsidRPr="0014543A">
        <w:rPr>
          <w:rFonts w:ascii="Times New Roman" w:hAnsi="Times New Roman"/>
          <w:bCs w:val="0"/>
          <w:sz w:val="24"/>
          <w:szCs w:val="24"/>
        </w:rPr>
        <w:tab/>
        <w:t xml:space="preserve">TCR Bid </w:t>
      </w:r>
      <w:commentRangeStart w:id="236"/>
      <w:r w:rsidRPr="0014543A">
        <w:rPr>
          <w:rFonts w:ascii="Times New Roman" w:hAnsi="Times New Roman"/>
          <w:bCs w:val="0"/>
          <w:sz w:val="24"/>
          <w:szCs w:val="24"/>
        </w:rPr>
        <w:t>and Offer</w:t>
      </w:r>
      <w:commentRangeEnd w:id="236"/>
      <w:r w:rsidRPr="0014543A">
        <w:rPr>
          <w:rStyle w:val="CommentReference"/>
          <w:rFonts w:ascii="Times New Roman" w:hAnsi="Times New Roman"/>
          <w:b w:val="0"/>
          <w:sz w:val="24"/>
          <w:szCs w:val="24"/>
        </w:rPr>
        <w:commentReference w:id="236"/>
      </w:r>
      <w:r w:rsidRPr="0014543A">
        <w:rPr>
          <w:rFonts w:ascii="Times New Roman" w:hAnsi="Times New Roman"/>
          <w:bCs w:val="0"/>
          <w:sz w:val="24"/>
          <w:szCs w:val="24"/>
        </w:rPr>
        <w:t xml:space="preserve"> Submittal</w:t>
      </w:r>
      <w:bookmarkEnd w:id="224"/>
      <w:bookmarkEnd w:id="225"/>
      <w:bookmarkEnd w:id="226"/>
      <w:bookmarkEnd w:id="227"/>
      <w:bookmarkEnd w:id="228"/>
      <w:bookmarkEnd w:id="229"/>
      <w:bookmarkEnd w:id="230"/>
      <w:bookmarkEnd w:id="231"/>
      <w:bookmarkEnd w:id="232"/>
      <w:bookmarkEnd w:id="233"/>
      <w:bookmarkEnd w:id="234"/>
      <w:bookmarkEnd w:id="235"/>
    </w:p>
    <w:p w:rsidR="0014543A" w:rsidRDefault="0014543A" w:rsidP="0014543A">
      <w:pPr>
        <w:pStyle w:val="1"/>
        <w:numPr>
          <w:ilvl w:val="0"/>
          <w:numId w:val="42"/>
        </w:numPr>
        <w:tabs>
          <w:tab w:val="clear" w:pos="1080"/>
        </w:tabs>
        <w:spacing w:before="120" w:after="120"/>
        <w:ind w:hanging="540"/>
        <w:rPr>
          <w:szCs w:val="24"/>
        </w:rPr>
      </w:pPr>
      <w:r>
        <w:rPr>
          <w:szCs w:val="24"/>
        </w:rPr>
        <w:t xml:space="preserve">Any Market Participant that has satisfied the applicable credit requirements may participate in the Annual TCR Auction; </w:t>
      </w:r>
    </w:p>
    <w:p w:rsidR="0014543A" w:rsidRDefault="0014543A" w:rsidP="0014543A">
      <w:pPr>
        <w:pStyle w:val="1"/>
        <w:numPr>
          <w:ilvl w:val="0"/>
          <w:numId w:val="42"/>
        </w:numPr>
        <w:tabs>
          <w:tab w:val="clear" w:pos="1080"/>
        </w:tabs>
        <w:spacing w:before="120" w:after="120"/>
        <w:ind w:hanging="540"/>
        <w:rPr>
          <w:szCs w:val="24"/>
        </w:rPr>
      </w:pPr>
      <w:r>
        <w:rPr>
          <w:szCs w:val="24"/>
        </w:rPr>
        <w:t>Market Participants holding ARRs may elect to self-convert all or a portion of those ARRs into TCRs</w:t>
      </w:r>
      <w:r w:rsidRPr="001420B2">
        <w:rPr>
          <w:szCs w:val="24"/>
        </w:rPr>
        <w:t xml:space="preserve"> </w:t>
      </w:r>
      <w:r>
        <w:rPr>
          <w:szCs w:val="24"/>
        </w:rPr>
        <w:t>with the same source and sink by specifying the Self-Convert option as part of the TCR Bid submittal</w:t>
      </w:r>
      <w:commentRangeStart w:id="237"/>
      <w:r>
        <w:rPr>
          <w:szCs w:val="24"/>
        </w:rPr>
        <w:t xml:space="preserve">. </w:t>
      </w:r>
      <w:del w:id="238" w:author="Micha Bailey" w:date="2014-03-12T14:23:00Z">
        <w:r w:rsidRPr="005E43E7" w:rsidDel="007119F8">
          <w:delText xml:space="preserve">All ARRs associated with LTCRs are automatically converted to TCRs prior to the start of the Annual TCR Auction and these TCRs will be considered Self-Converted ARRs for the purposes of settlement.  These </w:delText>
        </w:r>
      </w:del>
      <w:ins w:id="239" w:author="Micha Bailey" w:date="2014-03-12T14:23:00Z">
        <w:r w:rsidR="007119F8">
          <w:t xml:space="preserve">Directly converted </w:t>
        </w:r>
      </w:ins>
      <w:r w:rsidRPr="005E43E7">
        <w:t xml:space="preserve">TCRs </w:t>
      </w:r>
      <w:ins w:id="240" w:author="Micha Bailey" w:date="2014-03-12T14:24:00Z">
        <w:r w:rsidR="007119F8">
          <w:t xml:space="preserve">from LTCRs </w:t>
        </w:r>
      </w:ins>
      <w:r w:rsidRPr="005E43E7">
        <w:t>can</w:t>
      </w:r>
      <w:del w:id="241" w:author="Micha Bailey" w:date="2014-03-12T14:24:00Z">
        <w:r w:rsidRPr="005E43E7" w:rsidDel="007119F8">
          <w:delText xml:space="preserve"> then</w:delText>
        </w:r>
      </w:del>
      <w:r w:rsidRPr="005E43E7">
        <w:t xml:space="preserve"> be offered for sale in the Annual TCR Auction</w:t>
      </w:r>
      <w:r>
        <w:t>.</w:t>
      </w:r>
      <w:commentRangeEnd w:id="237"/>
      <w:r>
        <w:rPr>
          <w:rStyle w:val="CommentReference"/>
        </w:rPr>
        <w:commentReference w:id="237"/>
      </w:r>
    </w:p>
    <w:p w:rsidR="0014543A" w:rsidRDefault="0014543A" w:rsidP="0014543A">
      <w:pPr>
        <w:pStyle w:val="1"/>
        <w:numPr>
          <w:ilvl w:val="0"/>
          <w:numId w:val="42"/>
        </w:numPr>
        <w:tabs>
          <w:tab w:val="clear" w:pos="1080"/>
        </w:tabs>
        <w:spacing w:before="120" w:after="120"/>
        <w:ind w:hanging="540"/>
        <w:rPr>
          <w:szCs w:val="24"/>
        </w:rPr>
      </w:pPr>
      <w:r>
        <w:rPr>
          <w:szCs w:val="24"/>
        </w:rPr>
        <w:t xml:space="preserve">For each month and season included in the Annual TCR Auction period, Market Participants may submit TCR Bids </w:t>
      </w:r>
      <w:commentRangeStart w:id="242"/>
      <w:r w:rsidRPr="005E43E7">
        <w:t xml:space="preserve">and TCR Offers </w:t>
      </w:r>
      <w:commentRangeEnd w:id="242"/>
      <w:r>
        <w:rPr>
          <w:rStyle w:val="CommentReference"/>
        </w:rPr>
        <w:commentReference w:id="242"/>
      </w:r>
      <w:r>
        <w:rPr>
          <w:szCs w:val="24"/>
        </w:rPr>
        <w:t>in 0.1 MW increments separately, for On-Peak and Off-Peak periods (8 separate transmission system models created representing each month in an annual auction period and on-peak and off-peak periods within each month and 6 separate transmission system models created representing each season in an annual auction period and on-</w:t>
      </w:r>
      <w:r>
        <w:rPr>
          <w:szCs w:val="24"/>
        </w:rPr>
        <w:lastRenderedPageBreak/>
        <w:t xml:space="preserve">peak and off-peak periods within each season). The following information is submitted for a TCR Bid </w:t>
      </w:r>
      <w:commentRangeStart w:id="243"/>
      <w:r>
        <w:rPr>
          <w:szCs w:val="24"/>
        </w:rPr>
        <w:t>or a TCR Offer</w:t>
      </w:r>
      <w:commentRangeEnd w:id="243"/>
      <w:r>
        <w:rPr>
          <w:rStyle w:val="CommentReference"/>
        </w:rPr>
        <w:commentReference w:id="243"/>
      </w:r>
      <w:r>
        <w:rPr>
          <w:szCs w:val="24"/>
        </w:rPr>
        <w:t>:</w:t>
      </w:r>
    </w:p>
    <w:p w:rsidR="0014543A" w:rsidRDefault="0014543A" w:rsidP="0014543A">
      <w:pPr>
        <w:pStyle w:val="1"/>
        <w:numPr>
          <w:ilvl w:val="0"/>
          <w:numId w:val="43"/>
        </w:numPr>
        <w:tabs>
          <w:tab w:val="clear" w:pos="1080"/>
          <w:tab w:val="clear" w:pos="1800"/>
          <w:tab w:val="clear" w:pos="2160"/>
          <w:tab w:val="num" w:pos="1440"/>
        </w:tabs>
        <w:spacing w:before="120" w:after="120"/>
        <w:ind w:left="1440" w:hanging="540"/>
        <w:rPr>
          <w:szCs w:val="24"/>
        </w:rPr>
      </w:pPr>
      <w:r>
        <w:rPr>
          <w:szCs w:val="24"/>
        </w:rPr>
        <w:t>Source (any valid Settlement Location);</w:t>
      </w:r>
    </w:p>
    <w:p w:rsidR="0014543A" w:rsidRDefault="0014543A" w:rsidP="0014543A">
      <w:pPr>
        <w:pStyle w:val="1"/>
        <w:numPr>
          <w:ilvl w:val="0"/>
          <w:numId w:val="43"/>
        </w:numPr>
        <w:tabs>
          <w:tab w:val="clear" w:pos="1080"/>
          <w:tab w:val="clear" w:pos="1800"/>
          <w:tab w:val="clear" w:pos="2160"/>
          <w:tab w:val="num" w:pos="1440"/>
        </w:tabs>
        <w:spacing w:before="120" w:after="120"/>
        <w:ind w:left="1440" w:hanging="540"/>
        <w:rPr>
          <w:szCs w:val="24"/>
        </w:rPr>
      </w:pPr>
      <w:r>
        <w:rPr>
          <w:szCs w:val="24"/>
        </w:rPr>
        <w:t>Sink (any valid Settlement Location);</w:t>
      </w:r>
    </w:p>
    <w:p w:rsidR="0014543A" w:rsidRDefault="0014543A" w:rsidP="0014543A">
      <w:pPr>
        <w:pStyle w:val="1"/>
        <w:numPr>
          <w:ilvl w:val="0"/>
          <w:numId w:val="43"/>
        </w:numPr>
        <w:tabs>
          <w:tab w:val="clear" w:pos="1080"/>
          <w:tab w:val="clear" w:pos="1800"/>
          <w:tab w:val="clear" w:pos="2160"/>
          <w:tab w:val="num" w:pos="1440"/>
        </w:tabs>
        <w:spacing w:before="120" w:after="120"/>
        <w:ind w:left="1440" w:hanging="540"/>
        <w:rPr>
          <w:szCs w:val="24"/>
        </w:rPr>
      </w:pPr>
      <w:r w:rsidRPr="00997CCB">
        <w:rPr>
          <w:szCs w:val="24"/>
        </w:rPr>
        <w:t>Class (on-peak or off-peak)</w:t>
      </w:r>
      <w:r>
        <w:rPr>
          <w:szCs w:val="24"/>
        </w:rPr>
        <w:t>;</w:t>
      </w:r>
    </w:p>
    <w:p w:rsidR="0014543A" w:rsidRPr="00997CCB" w:rsidRDefault="0014543A" w:rsidP="0014543A">
      <w:pPr>
        <w:pStyle w:val="1"/>
        <w:numPr>
          <w:ilvl w:val="0"/>
          <w:numId w:val="43"/>
        </w:numPr>
        <w:tabs>
          <w:tab w:val="clear" w:pos="1080"/>
          <w:tab w:val="clear" w:pos="1800"/>
          <w:tab w:val="clear" w:pos="2160"/>
          <w:tab w:val="num" w:pos="1440"/>
        </w:tabs>
        <w:spacing w:before="120" w:after="120"/>
        <w:ind w:left="1440" w:hanging="540"/>
        <w:rPr>
          <w:szCs w:val="24"/>
        </w:rPr>
      </w:pPr>
      <w:r w:rsidRPr="00997CCB">
        <w:rPr>
          <w:szCs w:val="24"/>
        </w:rPr>
        <w:t>Period (month or season)</w:t>
      </w:r>
      <w:r>
        <w:rPr>
          <w:szCs w:val="24"/>
        </w:rPr>
        <w:t>;</w:t>
      </w:r>
    </w:p>
    <w:p w:rsidR="0014543A" w:rsidRDefault="0014543A" w:rsidP="0014543A">
      <w:pPr>
        <w:pStyle w:val="1"/>
        <w:numPr>
          <w:ilvl w:val="0"/>
          <w:numId w:val="43"/>
        </w:numPr>
        <w:tabs>
          <w:tab w:val="clear" w:pos="1080"/>
          <w:tab w:val="clear" w:pos="1800"/>
          <w:tab w:val="clear" w:pos="2160"/>
          <w:tab w:val="num" w:pos="1440"/>
        </w:tabs>
        <w:spacing w:before="120" w:after="120"/>
        <w:ind w:left="1440" w:hanging="540"/>
        <w:rPr>
          <w:szCs w:val="24"/>
        </w:rPr>
      </w:pPr>
      <w:r>
        <w:rPr>
          <w:szCs w:val="24"/>
        </w:rPr>
        <w:t xml:space="preserve">Type (Bid, </w:t>
      </w:r>
      <w:r>
        <w:rPr>
          <w:rStyle w:val="CommentReference"/>
        </w:rPr>
        <w:commentReference w:id="244"/>
      </w:r>
      <w:r>
        <w:rPr>
          <w:szCs w:val="24"/>
        </w:rPr>
        <w:t>Self-Convert</w:t>
      </w:r>
      <w:commentRangeStart w:id="245"/>
      <w:r w:rsidRPr="005E43E7">
        <w:t>, Offer</w:t>
      </w:r>
      <w:commentRangeEnd w:id="245"/>
      <w:r>
        <w:rPr>
          <w:rStyle w:val="CommentReference"/>
        </w:rPr>
        <w:commentReference w:id="245"/>
      </w:r>
      <w:r>
        <w:rPr>
          <w:szCs w:val="24"/>
        </w:rPr>
        <w:t>);</w:t>
      </w:r>
    </w:p>
    <w:p w:rsidR="0014543A" w:rsidRDefault="0014543A" w:rsidP="0014543A">
      <w:pPr>
        <w:pStyle w:val="1"/>
        <w:numPr>
          <w:ilvl w:val="0"/>
          <w:numId w:val="43"/>
        </w:numPr>
        <w:tabs>
          <w:tab w:val="clear" w:pos="1080"/>
          <w:tab w:val="clear" w:pos="1800"/>
          <w:tab w:val="clear" w:pos="2160"/>
          <w:tab w:val="num" w:pos="1440"/>
        </w:tabs>
        <w:spacing w:before="120" w:after="120"/>
        <w:ind w:left="1440" w:hanging="540"/>
        <w:rPr>
          <w:szCs w:val="24"/>
        </w:rPr>
      </w:pPr>
      <w:r>
        <w:rPr>
          <w:szCs w:val="24"/>
        </w:rPr>
        <w:t>TCR MW;</w:t>
      </w:r>
    </w:p>
    <w:p w:rsidR="0014543A" w:rsidRDefault="0014543A" w:rsidP="0014543A">
      <w:pPr>
        <w:pStyle w:val="1"/>
        <w:numPr>
          <w:ilvl w:val="0"/>
          <w:numId w:val="43"/>
        </w:numPr>
        <w:tabs>
          <w:tab w:val="clear" w:pos="1080"/>
          <w:tab w:val="clear" w:pos="1800"/>
          <w:tab w:val="clear" w:pos="2160"/>
          <w:tab w:val="num" w:pos="1440"/>
        </w:tabs>
        <w:spacing w:before="120" w:after="120"/>
        <w:ind w:left="1440" w:hanging="540"/>
        <w:rPr>
          <w:szCs w:val="24"/>
        </w:rPr>
      </w:pPr>
      <w:r>
        <w:rPr>
          <w:szCs w:val="24"/>
        </w:rPr>
        <w:t>TCR Price ($/MW);</w:t>
      </w:r>
    </w:p>
    <w:p w:rsidR="0014543A" w:rsidRDefault="0014543A" w:rsidP="0014543A">
      <w:pPr>
        <w:pStyle w:val="1"/>
        <w:numPr>
          <w:ilvl w:val="0"/>
          <w:numId w:val="44"/>
        </w:numPr>
        <w:tabs>
          <w:tab w:val="clear" w:pos="1080"/>
          <w:tab w:val="clear" w:pos="1800"/>
          <w:tab w:val="clear" w:pos="2160"/>
        </w:tabs>
        <w:spacing w:before="120" w:after="120"/>
        <w:ind w:left="2160" w:hanging="540"/>
        <w:rPr>
          <w:szCs w:val="24"/>
        </w:rPr>
      </w:pPr>
      <w:r>
        <w:rPr>
          <w:szCs w:val="24"/>
        </w:rPr>
        <w:t xml:space="preserve">TCR Bids </w:t>
      </w:r>
      <w:commentRangeStart w:id="246"/>
      <w:r w:rsidRPr="005E43E7">
        <w:t>and Offers</w:t>
      </w:r>
      <w:r>
        <w:rPr>
          <w:szCs w:val="24"/>
        </w:rPr>
        <w:t xml:space="preserve"> </w:t>
      </w:r>
      <w:commentRangeEnd w:id="246"/>
      <w:r>
        <w:rPr>
          <w:rStyle w:val="CommentReference"/>
        </w:rPr>
        <w:commentReference w:id="246"/>
      </w:r>
      <w:r>
        <w:rPr>
          <w:szCs w:val="24"/>
        </w:rPr>
        <w:t>cannot exceed $100,000/MW-Month;</w:t>
      </w:r>
    </w:p>
    <w:p w:rsidR="0014543A" w:rsidRDefault="0014543A" w:rsidP="0014543A">
      <w:pPr>
        <w:pStyle w:val="1"/>
        <w:numPr>
          <w:ilvl w:val="0"/>
          <w:numId w:val="44"/>
        </w:numPr>
        <w:tabs>
          <w:tab w:val="clear" w:pos="1080"/>
          <w:tab w:val="clear" w:pos="1800"/>
          <w:tab w:val="clear" w:pos="2160"/>
        </w:tabs>
        <w:spacing w:before="120" w:after="120"/>
        <w:ind w:left="2160" w:hanging="540"/>
        <w:rPr>
          <w:szCs w:val="24"/>
        </w:rPr>
      </w:pPr>
      <w:r>
        <w:rPr>
          <w:szCs w:val="24"/>
        </w:rPr>
        <w:t xml:space="preserve">TCR Bids </w:t>
      </w:r>
      <w:commentRangeStart w:id="247"/>
      <w:r w:rsidRPr="005E43E7">
        <w:t>and Offers</w:t>
      </w:r>
      <w:r>
        <w:rPr>
          <w:szCs w:val="24"/>
        </w:rPr>
        <w:t xml:space="preserve"> </w:t>
      </w:r>
      <w:commentRangeEnd w:id="247"/>
      <w:r>
        <w:rPr>
          <w:rStyle w:val="CommentReference"/>
        </w:rPr>
        <w:commentReference w:id="247"/>
      </w:r>
      <w:r>
        <w:rPr>
          <w:szCs w:val="24"/>
        </w:rPr>
        <w:t>cannot be less than ($100,000/MW-Month).</w:t>
      </w:r>
    </w:p>
    <w:p w:rsidR="0014543A" w:rsidRDefault="0014543A" w:rsidP="0014543A">
      <w:pPr>
        <w:pStyle w:val="1"/>
        <w:numPr>
          <w:ilvl w:val="0"/>
          <w:numId w:val="42"/>
        </w:numPr>
        <w:tabs>
          <w:tab w:val="clear" w:pos="1080"/>
          <w:tab w:val="clear" w:pos="1800"/>
          <w:tab w:val="clear" w:pos="2160"/>
        </w:tabs>
        <w:spacing w:before="120" w:after="120"/>
        <w:ind w:hanging="540"/>
        <w:rPr>
          <w:szCs w:val="24"/>
        </w:rPr>
      </w:pPr>
      <w:r>
        <w:rPr>
          <w:szCs w:val="24"/>
        </w:rPr>
        <w:t xml:space="preserve">For each TCR Round, a Market Participant is limited to a maximum combined submittal of 2000 TCR Bids </w:t>
      </w:r>
      <w:commentRangeStart w:id="248"/>
      <w:r w:rsidRPr="005E43E7">
        <w:t>and/or TCR Offers</w:t>
      </w:r>
      <w:r>
        <w:rPr>
          <w:szCs w:val="24"/>
        </w:rPr>
        <w:t xml:space="preserve"> </w:t>
      </w:r>
      <w:commentRangeEnd w:id="248"/>
      <w:r>
        <w:rPr>
          <w:rStyle w:val="CommentReference"/>
        </w:rPr>
        <w:commentReference w:id="248"/>
      </w:r>
      <w:r>
        <w:rPr>
          <w:szCs w:val="24"/>
        </w:rPr>
        <w:t>for each Asset Owner it represents.</w:t>
      </w:r>
    </w:p>
    <w:p w:rsidR="0014543A" w:rsidRDefault="0014543A" w:rsidP="0014543A">
      <w:pPr>
        <w:pStyle w:val="1"/>
        <w:numPr>
          <w:ilvl w:val="0"/>
          <w:numId w:val="42"/>
        </w:numPr>
        <w:tabs>
          <w:tab w:val="clear" w:pos="1080"/>
          <w:tab w:val="clear" w:pos="1800"/>
          <w:tab w:val="clear" w:pos="2160"/>
        </w:tabs>
        <w:spacing w:before="120" w:after="120"/>
        <w:ind w:hanging="540"/>
        <w:rPr>
          <w:szCs w:val="24"/>
        </w:rPr>
      </w:pPr>
      <w:r w:rsidRPr="0029195E">
        <w:t xml:space="preserve">Market Participants </w:t>
      </w:r>
      <w:r>
        <w:t>may not submit offers to buy TC</w:t>
      </w:r>
      <w:r w:rsidRPr="0029195E">
        <w:t>Rs between</w:t>
      </w:r>
      <w:r>
        <w:t xml:space="preserve"> Settlement Locations</w:t>
      </w:r>
      <w:r w:rsidRPr="0029195E">
        <w:t xml:space="preserve"> that are collocated and electrically equivalent</w:t>
      </w:r>
      <w:r>
        <w:t>.</w:t>
      </w:r>
    </w:p>
    <w:p w:rsidR="0014543A" w:rsidRPr="0014543A" w:rsidRDefault="0014543A" w:rsidP="0014543A">
      <w:pPr>
        <w:pStyle w:val="Heading3"/>
        <w:rPr>
          <w:rFonts w:ascii="Times New Roman" w:hAnsi="Times New Roman"/>
          <w:bCs w:val="0"/>
          <w:sz w:val="24"/>
          <w:szCs w:val="24"/>
        </w:rPr>
      </w:pPr>
      <w:bookmarkStart w:id="249" w:name="_Toc263173424"/>
      <w:bookmarkStart w:id="250" w:name="_Toc263173653"/>
      <w:bookmarkStart w:id="251" w:name="_Toc263173841"/>
      <w:bookmarkStart w:id="252" w:name="_Toc263174253"/>
      <w:bookmarkStart w:id="253" w:name="_Toc263235153"/>
      <w:bookmarkStart w:id="254" w:name="_Toc263235797"/>
      <w:bookmarkStart w:id="255" w:name="_Toc263429540"/>
      <w:bookmarkStart w:id="256" w:name="_Toc263795580"/>
      <w:bookmarkStart w:id="257" w:name="_Toc266869756"/>
      <w:bookmarkStart w:id="258" w:name="_Ref279568666"/>
      <w:bookmarkStart w:id="259" w:name="_Toc381090001"/>
      <w:bookmarkStart w:id="260" w:name="OLE_LINK265"/>
      <w:bookmarkStart w:id="261" w:name="OLE_LINK266"/>
      <w:r w:rsidRPr="0014543A">
        <w:rPr>
          <w:rFonts w:ascii="Times New Roman" w:hAnsi="Times New Roman"/>
          <w:bCs w:val="0"/>
          <w:sz w:val="24"/>
          <w:szCs w:val="24"/>
        </w:rPr>
        <w:t>5.4.4</w:t>
      </w:r>
      <w:r w:rsidRPr="0014543A">
        <w:rPr>
          <w:rFonts w:ascii="Times New Roman" w:hAnsi="Times New Roman"/>
          <w:bCs w:val="0"/>
          <w:sz w:val="24"/>
          <w:szCs w:val="24"/>
        </w:rPr>
        <w:tab/>
        <w:t>Annual TCR Awards</w:t>
      </w:r>
      <w:bookmarkEnd w:id="249"/>
      <w:bookmarkEnd w:id="250"/>
      <w:bookmarkEnd w:id="251"/>
      <w:bookmarkEnd w:id="252"/>
      <w:bookmarkEnd w:id="253"/>
      <w:bookmarkEnd w:id="254"/>
      <w:bookmarkEnd w:id="255"/>
      <w:bookmarkEnd w:id="256"/>
      <w:bookmarkEnd w:id="257"/>
      <w:bookmarkEnd w:id="258"/>
      <w:bookmarkEnd w:id="259"/>
    </w:p>
    <w:p w:rsidR="0014543A" w:rsidRDefault="0014543A" w:rsidP="0014543A">
      <w:pPr>
        <w:autoSpaceDE w:val="0"/>
        <w:autoSpaceDN w:val="0"/>
        <w:adjustRightInd w:val="0"/>
        <w:spacing w:before="120" w:line="300" w:lineRule="auto"/>
      </w:pPr>
      <w:r>
        <w:t xml:space="preserve">Simultaneously feasible TCRs are awarded based upon the TCR Bid prices such that the total TCR auction value is maximized. </w:t>
      </w:r>
      <w:commentRangeStart w:id="262"/>
      <w:del w:id="263" w:author="Micha Bailey" w:date="2014-03-12T14:24:00Z">
        <w:r w:rsidRPr="005E43E7" w:rsidDel="007119F8">
          <w:delText>TCRs associated with LTCRs result from ARRs that automatically become Self-Converted TCRs for settlement purposes.</w:delText>
        </w:r>
        <w:commentRangeEnd w:id="262"/>
        <w:r w:rsidDel="007119F8">
          <w:rPr>
            <w:rStyle w:val="CommentReference"/>
          </w:rPr>
          <w:commentReference w:id="262"/>
        </w:r>
        <w:r w:rsidDel="007119F8">
          <w:delText xml:space="preserve"> </w:delText>
        </w:r>
      </w:del>
      <w:r>
        <w:t xml:space="preserve">Self-Converted TCRs </w:t>
      </w:r>
      <w:commentRangeStart w:id="264"/>
      <w:del w:id="265" w:author="Micha Bailey" w:date="2014-03-12T14:24:00Z">
        <w:r w:rsidRPr="005E43E7" w:rsidDel="007119F8">
          <w:delText>not associated with LTCRs</w:delText>
        </w:r>
        <w:r w:rsidDel="007119F8">
          <w:delText xml:space="preserve"> </w:delText>
        </w:r>
      </w:del>
      <w:commentRangeEnd w:id="264"/>
      <w:r>
        <w:rPr>
          <w:rStyle w:val="CommentReference"/>
        </w:rPr>
        <w:commentReference w:id="264"/>
      </w:r>
      <w:r>
        <w:t>are evaluated simultaneously with submitted TCR Bids</w:t>
      </w:r>
      <w:commentRangeStart w:id="266"/>
      <w:r w:rsidRPr="005E43E7">
        <w:t xml:space="preserve"> and Offers</w:t>
      </w:r>
      <w:commentRangeEnd w:id="266"/>
      <w:r>
        <w:rPr>
          <w:rStyle w:val="CommentReference"/>
        </w:rPr>
        <w:commentReference w:id="266"/>
      </w:r>
      <w:r>
        <w:t>.</w:t>
      </w:r>
      <w:r w:rsidRPr="000C6778">
        <w:t xml:space="preserve">  In the event there is a tie during the SFT, the competing bids</w:t>
      </w:r>
      <w:commentRangeStart w:id="267"/>
      <w:r>
        <w:t xml:space="preserve"> and offers</w:t>
      </w:r>
      <w:commentRangeEnd w:id="267"/>
      <w:r>
        <w:rPr>
          <w:rStyle w:val="CommentReference"/>
        </w:rPr>
        <w:commentReference w:id="267"/>
      </w:r>
      <w:r w:rsidRPr="000C6778">
        <w:t xml:space="preserve"> will be awarded pro rata based on their impact(s) to the constraint(s).</w:t>
      </w:r>
      <w:r>
        <w:t xml:space="preserve">  Auction Clearing Prices (ACP) are calculated for each Settlement Location using the formula for the Marginal Congestion Component as described under Section </w:t>
      </w:r>
      <w:r>
        <w:fldChar w:fldCharType="begin"/>
      </w:r>
      <w:r>
        <w:instrText xml:space="preserve"> REF _Ref279566562 \r \h </w:instrText>
      </w:r>
      <w:r>
        <w:fldChar w:fldCharType="separate"/>
      </w:r>
      <w:r>
        <w:t>4.5.4.1.2</w:t>
      </w:r>
      <w:r>
        <w:fldChar w:fldCharType="end"/>
      </w:r>
      <w:r>
        <w:t xml:space="preserve"> (</w:t>
      </w:r>
      <w:r w:rsidRPr="00CD4B77">
        <w:rPr>
          <w:lang w:val="de-DE"/>
        </w:rPr>
        <w:t>MCC</w:t>
      </w:r>
      <w:r w:rsidRPr="00CD4B77">
        <w:rPr>
          <w:i/>
          <w:vertAlign w:val="subscript"/>
          <w:lang w:val="de-DE"/>
        </w:rPr>
        <w:t>i</w:t>
      </w:r>
      <w:r w:rsidRPr="00CD4B77">
        <w:rPr>
          <w:lang w:val="de-DE"/>
        </w:rPr>
        <w:t xml:space="preserve"> = - ( </w:t>
      </w:r>
      <w:r w:rsidRPr="00CD4B77">
        <w:rPr>
          <w:position w:val="-28"/>
        </w:rPr>
        <w:object w:dxaOrig="460" w:dyaOrig="680">
          <v:shape id="_x0000_i1027" type="#_x0000_t75" style="width:23.25pt;height:33.75pt" o:ole="">
            <v:imagedata r:id="rId20" o:title=""/>
          </v:shape>
          <o:OLEObject Type="Embed" ProgID="Equation.3" ShapeID="_x0000_i1027" DrawAspect="Content" ObjectID="_1456148934" r:id="rId21"/>
        </w:object>
      </w:r>
      <w:r w:rsidRPr="00CD4B77">
        <w:rPr>
          <w:lang w:val="de-DE"/>
        </w:rPr>
        <w:t>Sens</w:t>
      </w:r>
      <w:r w:rsidRPr="00CD4B77">
        <w:rPr>
          <w:i/>
          <w:vertAlign w:val="subscript"/>
          <w:lang w:val="de-DE"/>
        </w:rPr>
        <w:t>ik</w:t>
      </w:r>
      <w:r w:rsidRPr="00CD4B77">
        <w:rPr>
          <w:lang w:val="de-DE"/>
        </w:rPr>
        <w:t xml:space="preserve"> * SP</w:t>
      </w:r>
      <w:r w:rsidRPr="00CD4B77">
        <w:rPr>
          <w:i/>
          <w:vertAlign w:val="subscript"/>
          <w:lang w:val="de-DE"/>
        </w:rPr>
        <w:t>k</w:t>
      </w:r>
      <w:r w:rsidRPr="00CD4B77">
        <w:rPr>
          <w:lang w:val="de-DE"/>
        </w:rPr>
        <w:t xml:space="preserve">  </w:t>
      </w:r>
      <w:r>
        <w:rPr>
          <w:lang w:val="de-DE"/>
        </w:rPr>
        <w:t>))</w:t>
      </w:r>
      <w:r>
        <w:t xml:space="preserve">.  </w:t>
      </w:r>
    </w:p>
    <w:p w:rsidR="0014543A" w:rsidRDefault="0014543A" w:rsidP="0014543A">
      <w:pPr>
        <w:autoSpaceDE w:val="0"/>
        <w:autoSpaceDN w:val="0"/>
        <w:adjustRightInd w:val="0"/>
        <w:spacing w:before="120" w:line="300" w:lineRule="auto"/>
      </w:pPr>
      <w:r>
        <w:t>For example, if we assume a 3 bus system (Bus A, B and C) and Bus A is the Reference Bus, we can calculate the ACP at Bus B as follows:</w:t>
      </w:r>
    </w:p>
    <w:p w:rsidR="0014543A" w:rsidRDefault="0014543A" w:rsidP="0014543A">
      <w:pPr>
        <w:autoSpaceDE w:val="0"/>
        <w:autoSpaceDN w:val="0"/>
        <w:adjustRightInd w:val="0"/>
        <w:spacing w:before="120"/>
        <w:ind w:left="720"/>
      </w:pPr>
      <w:r>
        <w:rPr>
          <w:noProof/>
        </w:rPr>
        <w:lastRenderedPageBreak/>
        <w:drawing>
          <wp:inline distT="0" distB="0" distL="0" distR="0" wp14:anchorId="75674B69" wp14:editId="16C4FA9A">
            <wp:extent cx="2457746" cy="2136297"/>
            <wp:effectExtent l="19050" t="0" r="0" b="0"/>
            <wp:docPr id="2325" name="Picture 6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0"/>
                    <pic:cNvPicPr>
                      <a:picLocks noChangeAspect="1" noChangeArrowheads="1"/>
                    </pic:cNvPicPr>
                  </pic:nvPicPr>
                  <pic:blipFill>
                    <a:blip r:embed="rId22" cstate="print"/>
                    <a:srcRect/>
                    <a:stretch>
                      <a:fillRect/>
                    </a:stretch>
                  </pic:blipFill>
                  <pic:spPr bwMode="auto">
                    <a:xfrm>
                      <a:off x="0" y="0"/>
                      <a:ext cx="2460955" cy="2139086"/>
                    </a:xfrm>
                    <a:prstGeom prst="rect">
                      <a:avLst/>
                    </a:prstGeom>
                    <a:noFill/>
                  </pic:spPr>
                </pic:pic>
              </a:graphicData>
            </a:graphic>
          </wp:inline>
        </w:drawing>
      </w:r>
    </w:p>
    <w:p w:rsidR="0014543A" w:rsidRDefault="0014543A" w:rsidP="0014543A">
      <w:pPr>
        <w:autoSpaceDE w:val="0"/>
        <w:autoSpaceDN w:val="0"/>
        <w:adjustRightInd w:val="0"/>
        <w:spacing w:before="120"/>
        <w:ind w:firstLine="720"/>
      </w:pPr>
      <w:r>
        <w:t>Transmission Line B-C is at its limit with a Shadow Price = $40/MW</w:t>
      </w:r>
    </w:p>
    <w:p w:rsidR="0014543A" w:rsidRDefault="0014543A" w:rsidP="0014543A">
      <w:pPr>
        <w:autoSpaceDE w:val="0"/>
        <w:autoSpaceDN w:val="0"/>
        <w:adjustRightInd w:val="0"/>
        <w:spacing w:before="120"/>
        <w:ind w:left="720"/>
      </w:pPr>
      <w:r>
        <w:t>Transmission Line A-C is at its limit with a Shadow Price = $30/MW</w:t>
      </w:r>
    </w:p>
    <w:p w:rsidR="0014543A" w:rsidRDefault="0014543A" w:rsidP="0014543A">
      <w:pPr>
        <w:autoSpaceDE w:val="0"/>
        <w:autoSpaceDN w:val="0"/>
        <w:adjustRightInd w:val="0"/>
        <w:spacing w:before="120"/>
        <w:ind w:left="720"/>
      </w:pPr>
      <w:r>
        <w:t>Transmission Line A-B is not at its limit (Shadow Price = $0/MW)</w:t>
      </w:r>
    </w:p>
    <w:p w:rsidR="0014543A" w:rsidRDefault="0014543A" w:rsidP="0014543A">
      <w:pPr>
        <w:autoSpaceDE w:val="0"/>
        <w:autoSpaceDN w:val="0"/>
        <w:adjustRightInd w:val="0"/>
        <w:spacing w:before="120"/>
        <w:ind w:left="720"/>
      </w:pPr>
      <w:r>
        <w:t>Shift Factor for Bus B on Line B-C is 30%</w:t>
      </w:r>
    </w:p>
    <w:p w:rsidR="0014543A" w:rsidRDefault="0014543A" w:rsidP="0014543A">
      <w:pPr>
        <w:autoSpaceDE w:val="0"/>
        <w:autoSpaceDN w:val="0"/>
        <w:adjustRightInd w:val="0"/>
        <w:spacing w:before="120"/>
        <w:ind w:left="720"/>
      </w:pPr>
      <w:r>
        <w:t>Shift Factor for Bus B on Line A-C is -80%</w:t>
      </w:r>
    </w:p>
    <w:p w:rsidR="0014543A" w:rsidRDefault="0014543A" w:rsidP="0014543A">
      <w:pPr>
        <w:autoSpaceDE w:val="0"/>
        <w:autoSpaceDN w:val="0"/>
        <w:adjustRightInd w:val="0"/>
        <w:spacing w:before="120"/>
        <w:ind w:left="720"/>
      </w:pPr>
      <w:r>
        <w:t>Then ACP at Bus B is equal to - [($40/MW * .3) + ($30/MW * (-.8))] = $12/MW</w:t>
      </w:r>
    </w:p>
    <w:p w:rsidR="0014543A" w:rsidRDefault="0014543A" w:rsidP="0014543A">
      <w:pPr>
        <w:autoSpaceDE w:val="0"/>
        <w:autoSpaceDN w:val="0"/>
        <w:adjustRightInd w:val="0"/>
        <w:spacing w:before="120" w:line="300" w:lineRule="auto"/>
      </w:pPr>
      <w:r>
        <w:t xml:space="preserve">A similar calculation is performed for Bus C based on Bus C Shift Factors.  The ACP at Bus A is equal to zero since Bus A is the Reference Bus.   </w:t>
      </w:r>
    </w:p>
    <w:bookmarkEnd w:id="260"/>
    <w:bookmarkEnd w:id="261"/>
    <w:p w:rsidR="00936B11" w:rsidRDefault="00936B11" w:rsidP="008E003B">
      <w:pPr>
        <w:pStyle w:val="Header"/>
        <w:rPr>
          <w:rFonts w:ascii="Arial" w:hAnsi="Arial" w:cs="Arial"/>
          <w:sz w:val="20"/>
          <w:szCs w:val="20"/>
        </w:rPr>
      </w:pPr>
    </w:p>
    <w:p w:rsidR="0014543A" w:rsidRPr="0014543A" w:rsidRDefault="0014543A" w:rsidP="0014543A">
      <w:pPr>
        <w:pStyle w:val="Heading3"/>
        <w:numPr>
          <w:ilvl w:val="2"/>
          <w:numId w:val="0"/>
        </w:numPr>
        <w:tabs>
          <w:tab w:val="num" w:pos="1080"/>
        </w:tabs>
        <w:spacing w:before="0" w:after="240"/>
        <w:ind w:left="1080" w:hanging="1080"/>
        <w:jc w:val="both"/>
        <w:rPr>
          <w:rFonts w:ascii="Times New Roman" w:hAnsi="Times New Roman"/>
          <w:sz w:val="24"/>
          <w:szCs w:val="24"/>
        </w:rPr>
      </w:pPr>
      <w:bookmarkStart w:id="268" w:name="_Ref277921025"/>
      <w:bookmarkStart w:id="269" w:name="_Toc381090004"/>
      <w:r w:rsidRPr="0014543A">
        <w:rPr>
          <w:rFonts w:ascii="Times New Roman" w:hAnsi="Times New Roman"/>
          <w:sz w:val="24"/>
          <w:szCs w:val="24"/>
        </w:rPr>
        <w:t>5.5.2</w:t>
      </w:r>
      <w:r w:rsidRPr="0014543A">
        <w:rPr>
          <w:rFonts w:ascii="Times New Roman" w:hAnsi="Times New Roman"/>
          <w:sz w:val="24"/>
          <w:szCs w:val="24"/>
        </w:rPr>
        <w:tab/>
        <w:t>Monthly ARR Nominations</w:t>
      </w:r>
      <w:bookmarkEnd w:id="268"/>
      <w:bookmarkEnd w:id="269"/>
    </w:p>
    <w:p w:rsidR="0014543A" w:rsidRDefault="0014543A" w:rsidP="0014543A">
      <w:pPr>
        <w:pStyle w:val="1"/>
        <w:tabs>
          <w:tab w:val="clear" w:pos="720"/>
          <w:tab w:val="clear" w:pos="1080"/>
        </w:tabs>
        <w:spacing w:before="120" w:after="120"/>
        <w:ind w:left="0" w:firstLine="0"/>
        <w:rPr>
          <w:szCs w:val="24"/>
        </w:rPr>
      </w:pPr>
      <w:r>
        <w:rPr>
          <w:szCs w:val="24"/>
        </w:rPr>
        <w:t xml:space="preserve">Five (5) days prior to the start of each applicable Monthly TCR Auction Process, Eligible Entities may nominate in a single round process </w:t>
      </w:r>
      <w:bookmarkStart w:id="270" w:name="OLE_LINK256"/>
      <w:r>
        <w:rPr>
          <w:szCs w:val="24"/>
        </w:rPr>
        <w:t xml:space="preserve">(i) NITS Candidate ARRs in 0.1 MW increments along specific source to sink paths that total to no more than the difference between their NITS Nomination Cap and </w:t>
      </w:r>
      <w:ins w:id="271" w:author="Micha Bailey" w:date="2014-03-12T14:25:00Z">
        <w:r w:rsidR="007119F8">
          <w:t xml:space="preserve">awarded </w:t>
        </w:r>
      </w:ins>
      <w:r>
        <w:rPr>
          <w:szCs w:val="24"/>
        </w:rPr>
        <w:t xml:space="preserve">ARRs associated with NITS Candidate ARRs </w:t>
      </w:r>
      <w:commentRangeStart w:id="272"/>
      <w:r w:rsidRPr="005E43E7">
        <w:t>and</w:t>
      </w:r>
      <w:ins w:id="273" w:author="Micha Bailey" w:date="2014-03-12T14:25:00Z">
        <w:r w:rsidR="007119F8" w:rsidRPr="007119F8">
          <w:t xml:space="preserve"> </w:t>
        </w:r>
        <w:r w:rsidR="007119F8">
          <w:t>directly converted TCRs from awarded LTCRs associated with</w:t>
        </w:r>
      </w:ins>
      <w:r w:rsidRPr="005E43E7">
        <w:t xml:space="preserve"> NITS Candidate LTCRs </w:t>
      </w:r>
      <w:del w:id="274" w:author="Micha Bailey" w:date="2014-03-12T14:25:00Z">
        <w:r w:rsidRPr="005E43E7" w:rsidDel="007119F8">
          <w:delText xml:space="preserve">awarded </w:delText>
        </w:r>
      </w:del>
      <w:r w:rsidRPr="005E43E7">
        <w:t xml:space="preserve">in the </w:t>
      </w:r>
      <w:del w:id="275" w:author="Micha Bailey" w:date="2014-03-12T14:25:00Z">
        <w:r w:rsidRPr="005E43E7" w:rsidDel="007119F8">
          <w:delText xml:space="preserve">Annual </w:delText>
        </w:r>
      </w:del>
      <w:ins w:id="276" w:author="Micha Bailey" w:date="2014-03-12T14:25:00Z">
        <w:r w:rsidR="007119F8">
          <w:t>a</w:t>
        </w:r>
        <w:r w:rsidR="007119F8" w:rsidRPr="005E43E7">
          <w:t xml:space="preserve">nnual </w:t>
        </w:r>
      </w:ins>
      <w:del w:id="277" w:author="Micha Bailey" w:date="2014-03-12T14:25:00Z">
        <w:r w:rsidRPr="005E43E7" w:rsidDel="007119F8">
          <w:delText>ARR</w:delText>
        </w:r>
      </w:del>
      <w:r w:rsidRPr="005E43E7">
        <w:t xml:space="preserve"> </w:t>
      </w:r>
      <w:del w:id="278" w:author="Micha Bailey" w:date="2014-03-12T14:25:00Z">
        <w:r w:rsidRPr="005E43E7" w:rsidDel="007119F8">
          <w:delText xml:space="preserve">Allocation </w:delText>
        </w:r>
      </w:del>
      <w:ins w:id="279" w:author="Micha Bailey" w:date="2014-03-12T14:25:00Z">
        <w:r w:rsidR="007119F8">
          <w:t>a</w:t>
        </w:r>
        <w:r w:rsidR="007119F8" w:rsidRPr="005E43E7">
          <w:t xml:space="preserve">llocation </w:t>
        </w:r>
      </w:ins>
      <w:r w:rsidRPr="005E43E7">
        <w:t>process</w:t>
      </w:r>
      <w:commentRangeEnd w:id="272"/>
      <w:ins w:id="280" w:author="Micha Bailey" w:date="2014-03-12T14:25:00Z">
        <w:r w:rsidR="007119F8">
          <w:t>es</w:t>
        </w:r>
      </w:ins>
      <w:r>
        <w:rPr>
          <w:rStyle w:val="CommentReference"/>
        </w:rPr>
        <w:commentReference w:id="272"/>
      </w:r>
      <w:r>
        <w:rPr>
          <w:szCs w:val="24"/>
        </w:rPr>
        <w:t xml:space="preserve">; (ii) FPTP Candidate ARRs in 0.1 MW increments along specific source to sink paths that total to no more than the difference between their FPTP Nomination Cap and </w:t>
      </w:r>
      <w:ins w:id="281" w:author="Micha Bailey" w:date="2014-03-12T14:26:00Z">
        <w:r w:rsidR="007119F8">
          <w:t xml:space="preserve">awarded </w:t>
        </w:r>
      </w:ins>
      <w:r>
        <w:rPr>
          <w:szCs w:val="24"/>
        </w:rPr>
        <w:t xml:space="preserve">ARRs associated with FPTP Candidate ARRs </w:t>
      </w:r>
      <w:commentRangeStart w:id="282"/>
      <w:r w:rsidRPr="005E43E7">
        <w:t>and</w:t>
      </w:r>
      <w:ins w:id="283" w:author="Micha Bailey" w:date="2014-03-12T14:26:00Z">
        <w:r w:rsidR="007119F8" w:rsidRPr="007119F8">
          <w:t xml:space="preserve"> </w:t>
        </w:r>
        <w:r w:rsidR="007119F8">
          <w:t>directly converted TCRs from awarded LTCRs associated with</w:t>
        </w:r>
      </w:ins>
      <w:r w:rsidRPr="005E43E7">
        <w:t xml:space="preserve"> FPTP Candidate LTCRs </w:t>
      </w:r>
      <w:commentRangeEnd w:id="282"/>
      <w:r>
        <w:rPr>
          <w:rStyle w:val="CommentReference"/>
        </w:rPr>
        <w:commentReference w:id="282"/>
      </w:r>
      <w:del w:id="284" w:author="Micha Bailey" w:date="2014-03-12T14:26:00Z">
        <w:r w:rsidDel="007119F8">
          <w:rPr>
            <w:szCs w:val="24"/>
          </w:rPr>
          <w:delText xml:space="preserve">awarded </w:delText>
        </w:r>
      </w:del>
      <w:r>
        <w:rPr>
          <w:szCs w:val="24"/>
        </w:rPr>
        <w:t xml:space="preserve">in the </w:t>
      </w:r>
      <w:del w:id="285" w:author="Micha Bailey" w:date="2014-03-12T14:26:00Z">
        <w:r w:rsidDel="007119F8">
          <w:rPr>
            <w:szCs w:val="24"/>
          </w:rPr>
          <w:delText xml:space="preserve">Annual </w:delText>
        </w:r>
      </w:del>
      <w:ins w:id="286" w:author="Micha Bailey" w:date="2014-03-12T14:26:00Z">
        <w:r w:rsidR="007119F8">
          <w:rPr>
            <w:szCs w:val="24"/>
          </w:rPr>
          <w:t xml:space="preserve">annual </w:t>
        </w:r>
      </w:ins>
      <w:del w:id="287" w:author="Micha Bailey" w:date="2014-03-12T14:26:00Z">
        <w:r w:rsidDel="007119F8">
          <w:rPr>
            <w:szCs w:val="24"/>
          </w:rPr>
          <w:delText>ARR</w:delText>
        </w:r>
      </w:del>
      <w:r>
        <w:rPr>
          <w:szCs w:val="24"/>
        </w:rPr>
        <w:t xml:space="preserve"> </w:t>
      </w:r>
      <w:del w:id="288" w:author="Micha Bailey" w:date="2014-03-12T14:27:00Z">
        <w:r w:rsidDel="007119F8">
          <w:rPr>
            <w:szCs w:val="24"/>
          </w:rPr>
          <w:delText xml:space="preserve">Allocation </w:delText>
        </w:r>
      </w:del>
      <w:ins w:id="289" w:author="Micha Bailey" w:date="2014-03-12T14:27:00Z">
        <w:r w:rsidR="007119F8">
          <w:rPr>
            <w:szCs w:val="24"/>
          </w:rPr>
          <w:t xml:space="preserve">allocation </w:t>
        </w:r>
      </w:ins>
      <w:r>
        <w:rPr>
          <w:szCs w:val="24"/>
        </w:rPr>
        <w:t>process</w:t>
      </w:r>
      <w:ins w:id="290" w:author="Micha Bailey" w:date="2014-03-12T14:27:00Z">
        <w:r w:rsidR="007119F8">
          <w:rPr>
            <w:szCs w:val="24"/>
          </w:rPr>
          <w:t>es</w:t>
        </w:r>
      </w:ins>
      <w:r>
        <w:rPr>
          <w:szCs w:val="24"/>
        </w:rPr>
        <w:t>;</w:t>
      </w:r>
      <w:bookmarkEnd w:id="270"/>
      <w:r>
        <w:rPr>
          <w:szCs w:val="24"/>
        </w:rPr>
        <w:t xml:space="preserve">  (iii) GFA NITS Candidate ARRs in .1 MW increments along specific source to sink paths that total to no more than the difference between their GFA NITS Nomination Cap and </w:t>
      </w:r>
      <w:ins w:id="291" w:author="Micha Bailey" w:date="2014-03-12T14:27:00Z">
        <w:r w:rsidR="007119F8">
          <w:t xml:space="preserve">awarded </w:t>
        </w:r>
      </w:ins>
      <w:r>
        <w:rPr>
          <w:szCs w:val="24"/>
        </w:rPr>
        <w:t xml:space="preserve">ARRs associated with GFA NITS Candidate ARRs </w:t>
      </w:r>
      <w:commentRangeStart w:id="292"/>
      <w:r w:rsidRPr="005E43E7">
        <w:t xml:space="preserve">and </w:t>
      </w:r>
      <w:ins w:id="293" w:author="Micha Bailey" w:date="2014-03-12T14:27:00Z">
        <w:r w:rsidR="007119F8">
          <w:t xml:space="preserve">directly converted TCRs from awarded LTCRs associated with </w:t>
        </w:r>
      </w:ins>
      <w:r w:rsidRPr="005E43E7">
        <w:t xml:space="preserve">GFA NITS Candidate LTCRs </w:t>
      </w:r>
      <w:commentRangeEnd w:id="292"/>
      <w:r>
        <w:rPr>
          <w:rStyle w:val="CommentReference"/>
        </w:rPr>
        <w:commentReference w:id="292"/>
      </w:r>
      <w:del w:id="294" w:author="Micha Bailey" w:date="2014-03-12T14:27:00Z">
        <w:r w:rsidDel="007119F8">
          <w:rPr>
            <w:szCs w:val="24"/>
          </w:rPr>
          <w:delText xml:space="preserve">awarded </w:delText>
        </w:r>
      </w:del>
      <w:r>
        <w:rPr>
          <w:szCs w:val="24"/>
        </w:rPr>
        <w:t xml:space="preserve">in the </w:t>
      </w:r>
      <w:del w:id="295" w:author="Micha Bailey" w:date="2014-03-12T14:27:00Z">
        <w:r w:rsidDel="007119F8">
          <w:rPr>
            <w:szCs w:val="24"/>
          </w:rPr>
          <w:delText xml:space="preserve">Annual </w:delText>
        </w:r>
      </w:del>
      <w:ins w:id="296" w:author="Micha Bailey" w:date="2014-03-12T14:27:00Z">
        <w:r w:rsidR="007119F8">
          <w:rPr>
            <w:szCs w:val="24"/>
          </w:rPr>
          <w:t xml:space="preserve">annual </w:t>
        </w:r>
      </w:ins>
      <w:del w:id="297" w:author="Micha Bailey" w:date="2014-03-12T14:27:00Z">
        <w:r w:rsidDel="007119F8">
          <w:rPr>
            <w:szCs w:val="24"/>
          </w:rPr>
          <w:delText xml:space="preserve">ARR Allocation </w:delText>
        </w:r>
      </w:del>
      <w:ins w:id="298" w:author="Micha Bailey" w:date="2014-03-12T14:27:00Z">
        <w:r w:rsidR="007119F8">
          <w:rPr>
            <w:szCs w:val="24"/>
          </w:rPr>
          <w:t xml:space="preserve">allocation </w:t>
        </w:r>
      </w:ins>
      <w:r>
        <w:rPr>
          <w:szCs w:val="24"/>
        </w:rPr>
        <w:t>process</w:t>
      </w:r>
      <w:ins w:id="299" w:author="Micha Bailey" w:date="2014-03-12T14:28:00Z">
        <w:r w:rsidR="007119F8">
          <w:rPr>
            <w:szCs w:val="24"/>
          </w:rPr>
          <w:t>es</w:t>
        </w:r>
      </w:ins>
      <w:r>
        <w:rPr>
          <w:szCs w:val="24"/>
        </w:rPr>
        <w:t>; and/or (iv) GFA FPTP Candidate ARRs in 0.1 MW increments along specific source to sink paths that total to no more than the difference between their GFA FPTP Nomination Cap and</w:t>
      </w:r>
      <w:ins w:id="300" w:author="Micha Bailey" w:date="2014-03-12T14:28:00Z">
        <w:r w:rsidR="007119F8">
          <w:rPr>
            <w:szCs w:val="24"/>
          </w:rPr>
          <w:t xml:space="preserve"> </w:t>
        </w:r>
        <w:r w:rsidR="007119F8">
          <w:t>awarded</w:t>
        </w:r>
      </w:ins>
      <w:r>
        <w:rPr>
          <w:szCs w:val="24"/>
        </w:rPr>
        <w:t xml:space="preserve"> ARRs associated with GFA FPTP Candidate ARRs </w:t>
      </w:r>
      <w:commentRangeStart w:id="301"/>
      <w:r w:rsidRPr="005E43E7">
        <w:t xml:space="preserve">and </w:t>
      </w:r>
      <w:ins w:id="302" w:author="Micha Bailey" w:date="2014-03-12T14:28:00Z">
        <w:r w:rsidR="007119F8">
          <w:t xml:space="preserve">directly converted TCRs from awarded LTCRs associated with </w:t>
        </w:r>
      </w:ins>
      <w:r w:rsidRPr="005E43E7">
        <w:t>GFA FPTP Candidate LTCRs</w:t>
      </w:r>
      <w:r>
        <w:rPr>
          <w:szCs w:val="24"/>
        </w:rPr>
        <w:t xml:space="preserve"> </w:t>
      </w:r>
      <w:commentRangeEnd w:id="301"/>
      <w:r>
        <w:rPr>
          <w:rStyle w:val="CommentReference"/>
        </w:rPr>
        <w:commentReference w:id="301"/>
      </w:r>
      <w:del w:id="303" w:author="Micha Bailey" w:date="2014-03-12T14:28:00Z">
        <w:r w:rsidDel="007119F8">
          <w:rPr>
            <w:szCs w:val="24"/>
          </w:rPr>
          <w:delText xml:space="preserve">awarded </w:delText>
        </w:r>
      </w:del>
      <w:r>
        <w:rPr>
          <w:szCs w:val="24"/>
        </w:rPr>
        <w:t xml:space="preserve">in the </w:t>
      </w:r>
      <w:del w:id="304" w:author="Micha Bailey" w:date="2014-03-12T14:28:00Z">
        <w:r w:rsidDel="007119F8">
          <w:rPr>
            <w:szCs w:val="24"/>
          </w:rPr>
          <w:delText xml:space="preserve">Annual </w:delText>
        </w:r>
      </w:del>
      <w:ins w:id="305" w:author="Micha Bailey" w:date="2014-03-12T14:28:00Z">
        <w:r w:rsidR="007119F8">
          <w:rPr>
            <w:szCs w:val="24"/>
          </w:rPr>
          <w:t xml:space="preserve">annual </w:t>
        </w:r>
      </w:ins>
      <w:del w:id="306" w:author="Micha Bailey" w:date="2014-03-12T14:28:00Z">
        <w:r w:rsidDel="007119F8">
          <w:rPr>
            <w:szCs w:val="24"/>
          </w:rPr>
          <w:delText xml:space="preserve">ARR Allocation </w:delText>
        </w:r>
      </w:del>
      <w:ins w:id="307" w:author="Micha Bailey" w:date="2014-03-12T14:28:00Z">
        <w:r w:rsidR="007119F8">
          <w:rPr>
            <w:szCs w:val="24"/>
          </w:rPr>
          <w:t xml:space="preserve">allocation </w:t>
        </w:r>
      </w:ins>
      <w:r>
        <w:rPr>
          <w:szCs w:val="24"/>
        </w:rPr>
        <w:t>process</w:t>
      </w:r>
      <w:ins w:id="308" w:author="Micha Bailey" w:date="2014-03-12T14:28:00Z">
        <w:r w:rsidR="007119F8">
          <w:rPr>
            <w:szCs w:val="24"/>
          </w:rPr>
          <w:t>es</w:t>
        </w:r>
      </w:ins>
      <w:r>
        <w:rPr>
          <w:szCs w:val="24"/>
        </w:rPr>
        <w:t xml:space="preserve">.  </w:t>
      </w:r>
      <w:r>
        <w:rPr>
          <w:szCs w:val="24"/>
        </w:rPr>
        <w:lastRenderedPageBreak/>
        <w:t>Nominations occur separately for On-Peak and Off-Peak periods.  Eligible Entities submit the following information:</w:t>
      </w:r>
    </w:p>
    <w:p w:rsidR="0014543A" w:rsidRDefault="0014543A" w:rsidP="0014543A">
      <w:pPr>
        <w:pStyle w:val="1"/>
        <w:numPr>
          <w:ilvl w:val="0"/>
          <w:numId w:val="45"/>
        </w:numPr>
        <w:spacing w:before="120" w:after="120"/>
        <w:rPr>
          <w:szCs w:val="24"/>
        </w:rPr>
      </w:pPr>
      <w:r>
        <w:rPr>
          <w:szCs w:val="24"/>
        </w:rPr>
        <w:t>Source (valid candidate ARR source Settlement Location);</w:t>
      </w:r>
    </w:p>
    <w:p w:rsidR="0014543A" w:rsidRDefault="0014543A" w:rsidP="0014543A">
      <w:pPr>
        <w:pStyle w:val="1"/>
        <w:numPr>
          <w:ilvl w:val="0"/>
          <w:numId w:val="45"/>
        </w:numPr>
        <w:spacing w:before="120" w:after="120"/>
        <w:rPr>
          <w:szCs w:val="24"/>
        </w:rPr>
      </w:pPr>
      <w:r>
        <w:rPr>
          <w:szCs w:val="24"/>
        </w:rPr>
        <w:t>Sink (valid candidate ARR sink Settlement Location);</w:t>
      </w:r>
    </w:p>
    <w:p w:rsidR="0014543A" w:rsidRDefault="0014543A" w:rsidP="0014543A">
      <w:pPr>
        <w:pStyle w:val="1"/>
        <w:numPr>
          <w:ilvl w:val="0"/>
          <w:numId w:val="45"/>
        </w:numPr>
        <w:spacing w:before="120" w:after="120"/>
        <w:rPr>
          <w:szCs w:val="24"/>
        </w:rPr>
      </w:pPr>
      <w:r>
        <w:rPr>
          <w:szCs w:val="24"/>
        </w:rPr>
        <w:t>Class (on-peak or off-peak);</w:t>
      </w:r>
    </w:p>
    <w:p w:rsidR="0014543A" w:rsidRDefault="0014543A" w:rsidP="0014543A">
      <w:pPr>
        <w:pStyle w:val="1"/>
        <w:numPr>
          <w:ilvl w:val="0"/>
          <w:numId w:val="45"/>
        </w:numPr>
        <w:spacing w:before="120" w:after="120"/>
        <w:rPr>
          <w:szCs w:val="24"/>
        </w:rPr>
      </w:pPr>
      <w:r>
        <w:rPr>
          <w:szCs w:val="24"/>
        </w:rPr>
        <w:t>ARR MW.</w:t>
      </w:r>
    </w:p>
    <w:p w:rsidR="0014543A" w:rsidRDefault="0014543A" w:rsidP="0014543A">
      <w:pPr>
        <w:pStyle w:val="1"/>
        <w:numPr>
          <w:ilvl w:val="1"/>
          <w:numId w:val="45"/>
        </w:numPr>
        <w:tabs>
          <w:tab w:val="clear" w:pos="1080"/>
          <w:tab w:val="clear" w:pos="1800"/>
          <w:tab w:val="clear" w:pos="2160"/>
          <w:tab w:val="left" w:pos="900"/>
        </w:tabs>
        <w:spacing w:before="120" w:after="120"/>
        <w:rPr>
          <w:szCs w:val="24"/>
        </w:rPr>
      </w:pPr>
      <w:r>
        <w:rPr>
          <w:szCs w:val="24"/>
        </w:rPr>
        <w:t>T</w:t>
      </w:r>
      <w:r w:rsidRPr="0001586D">
        <w:rPr>
          <w:szCs w:val="24"/>
        </w:rPr>
        <w:t xml:space="preserve">he total ARR MW nominated from a source Settlement Location cannot exceed the source </w:t>
      </w:r>
      <w:r>
        <w:rPr>
          <w:szCs w:val="24"/>
        </w:rPr>
        <w:t>c</w:t>
      </w:r>
      <w:r w:rsidRPr="0001586D">
        <w:rPr>
          <w:szCs w:val="24"/>
        </w:rPr>
        <w:t>andidate ARRs</w:t>
      </w:r>
      <w:r w:rsidRPr="005E43E7">
        <w:t xml:space="preserve"> </w:t>
      </w:r>
      <w:commentRangeStart w:id="309"/>
      <w:r w:rsidRPr="005E43E7">
        <w:t>less previously awarded source ARRs</w:t>
      </w:r>
      <w:commentRangeEnd w:id="309"/>
      <w:r>
        <w:rPr>
          <w:rStyle w:val="CommentReference"/>
        </w:rPr>
        <w:commentReference w:id="309"/>
      </w:r>
      <w:r w:rsidRPr="0001586D">
        <w:rPr>
          <w:szCs w:val="24"/>
        </w:rPr>
        <w:t>.</w:t>
      </w:r>
    </w:p>
    <w:p w:rsidR="00936B11" w:rsidRDefault="00936B11" w:rsidP="008E003B">
      <w:pPr>
        <w:pStyle w:val="Header"/>
        <w:rPr>
          <w:rFonts w:ascii="Arial" w:hAnsi="Arial" w:cs="Arial"/>
          <w:sz w:val="20"/>
          <w:szCs w:val="20"/>
        </w:rPr>
      </w:pPr>
    </w:p>
    <w:p w:rsidR="00CD3D47" w:rsidRPr="00CD3D47" w:rsidRDefault="00CD3D47" w:rsidP="00CD3D47">
      <w:pPr>
        <w:pStyle w:val="Heading3"/>
        <w:numPr>
          <w:ilvl w:val="2"/>
          <w:numId w:val="0"/>
        </w:numPr>
        <w:tabs>
          <w:tab w:val="num" w:pos="1080"/>
        </w:tabs>
        <w:spacing w:before="0" w:after="240"/>
        <w:ind w:left="1080" w:hanging="1080"/>
        <w:jc w:val="both"/>
        <w:rPr>
          <w:rFonts w:ascii="Times New Roman" w:hAnsi="Times New Roman"/>
          <w:sz w:val="24"/>
          <w:szCs w:val="24"/>
        </w:rPr>
      </w:pPr>
      <w:bookmarkStart w:id="310" w:name="_Toc381090005"/>
      <w:r w:rsidRPr="00CD3D47">
        <w:rPr>
          <w:rFonts w:ascii="Times New Roman" w:hAnsi="Times New Roman"/>
          <w:sz w:val="24"/>
          <w:szCs w:val="24"/>
        </w:rPr>
        <w:t>5.5.3</w:t>
      </w:r>
      <w:r w:rsidRPr="00CD3D47">
        <w:rPr>
          <w:rFonts w:ascii="Times New Roman" w:hAnsi="Times New Roman"/>
          <w:sz w:val="24"/>
          <w:szCs w:val="24"/>
        </w:rPr>
        <w:tab/>
        <w:t>Simultaneous Feasibility</w:t>
      </w:r>
      <w:bookmarkEnd w:id="310"/>
      <w:r w:rsidRPr="00CD3D47">
        <w:rPr>
          <w:rFonts w:ascii="Times New Roman" w:hAnsi="Times New Roman"/>
          <w:sz w:val="24"/>
          <w:szCs w:val="24"/>
        </w:rPr>
        <w:t xml:space="preserve"> </w:t>
      </w:r>
    </w:p>
    <w:p w:rsidR="00CD3D47" w:rsidRDefault="00CD3D47" w:rsidP="00CD3D47">
      <w:pPr>
        <w:pStyle w:val="1"/>
        <w:tabs>
          <w:tab w:val="clear" w:pos="720"/>
          <w:tab w:val="clear" w:pos="1080"/>
          <w:tab w:val="clear" w:pos="1800"/>
          <w:tab w:val="clear" w:pos="2160"/>
          <w:tab w:val="left" w:pos="0"/>
        </w:tabs>
        <w:spacing w:before="120" w:after="120"/>
        <w:ind w:left="0" w:firstLine="0"/>
        <w:rPr>
          <w:szCs w:val="24"/>
        </w:rPr>
      </w:pPr>
      <w:r>
        <w:rPr>
          <w:szCs w:val="24"/>
        </w:rPr>
        <w:t xml:space="preserve">The SFT to assess feasibility of nominated monthly candidate ARRs is performed as described under Section </w:t>
      </w:r>
      <w:commentRangeStart w:id="311"/>
      <w:r>
        <w:rPr>
          <w:szCs w:val="24"/>
        </w:rPr>
        <w:fldChar w:fldCharType="begin"/>
      </w:r>
      <w:r>
        <w:rPr>
          <w:szCs w:val="24"/>
        </w:rPr>
        <w:instrText xml:space="preserve"> REF _Ref260828818 \r \h </w:instrText>
      </w:r>
      <w:r>
        <w:rPr>
          <w:szCs w:val="24"/>
        </w:rPr>
      </w:r>
      <w:r>
        <w:rPr>
          <w:szCs w:val="24"/>
        </w:rPr>
        <w:fldChar w:fldCharType="separate"/>
      </w:r>
      <w:r>
        <w:rPr>
          <w:szCs w:val="24"/>
        </w:rPr>
        <w:t>5.3.3</w:t>
      </w:r>
      <w:r>
        <w:rPr>
          <w:szCs w:val="24"/>
        </w:rPr>
        <w:fldChar w:fldCharType="end"/>
      </w:r>
      <w:commentRangeEnd w:id="311"/>
      <w:r>
        <w:rPr>
          <w:rStyle w:val="CommentReference"/>
        </w:rPr>
        <w:commentReference w:id="311"/>
      </w:r>
      <w:r>
        <w:rPr>
          <w:szCs w:val="24"/>
        </w:rPr>
        <w:t xml:space="preserve"> with the following adjustments:</w:t>
      </w:r>
    </w:p>
    <w:p w:rsidR="00CD3D47" w:rsidRDefault="00CD3D47" w:rsidP="00CD3D47">
      <w:pPr>
        <w:pStyle w:val="1"/>
        <w:numPr>
          <w:ilvl w:val="0"/>
          <w:numId w:val="46"/>
        </w:numPr>
        <w:tabs>
          <w:tab w:val="clear" w:pos="1080"/>
          <w:tab w:val="clear" w:pos="1440"/>
          <w:tab w:val="clear" w:pos="1800"/>
          <w:tab w:val="num" w:pos="720"/>
        </w:tabs>
        <w:spacing w:before="120" w:after="120"/>
        <w:ind w:left="720" w:hanging="540"/>
        <w:rPr>
          <w:szCs w:val="24"/>
        </w:rPr>
      </w:pPr>
      <w:r>
        <w:rPr>
          <w:szCs w:val="24"/>
        </w:rPr>
        <w:t>The SPP Transmission System model used in the SFT will be the same model to be used in the upcoming Monthly TCR Auction Process which will include the most up-to-date Network Model, including planned maintenance outages, and updated Parallel Flow assumptions;</w:t>
      </w:r>
    </w:p>
    <w:p w:rsidR="00CD3D47" w:rsidRDefault="00CD3D47" w:rsidP="00CD3D47">
      <w:pPr>
        <w:pStyle w:val="1"/>
        <w:numPr>
          <w:ilvl w:val="1"/>
          <w:numId w:val="46"/>
        </w:numPr>
        <w:tabs>
          <w:tab w:val="clear" w:pos="1080"/>
          <w:tab w:val="clear" w:pos="1800"/>
        </w:tabs>
        <w:spacing w:before="120" w:after="120"/>
        <w:ind w:hanging="540"/>
        <w:rPr>
          <w:szCs w:val="24"/>
        </w:rPr>
      </w:pPr>
      <w:r>
        <w:rPr>
          <w:szCs w:val="24"/>
        </w:rPr>
        <w:t xml:space="preserve">For withdrawals at sink Settlement Locations containing more than one PNode, SPP will distribute the Settlement Location withdrawal down to the PNode level using load distribution percentages from the peak hour of the corresponding most recent historical period (i.e. June for the month of July).  These load distribution percentages are calculated using the methodology described under Section </w:t>
      </w:r>
      <w:r>
        <w:rPr>
          <w:szCs w:val="24"/>
        </w:rPr>
        <w:fldChar w:fldCharType="begin"/>
      </w:r>
      <w:r>
        <w:rPr>
          <w:szCs w:val="24"/>
        </w:rPr>
        <w:instrText xml:space="preserve"> REF _Ref258484770 \r \h </w:instrText>
      </w:r>
      <w:r>
        <w:rPr>
          <w:szCs w:val="24"/>
        </w:rPr>
      </w:r>
      <w:r>
        <w:rPr>
          <w:szCs w:val="24"/>
        </w:rPr>
        <w:fldChar w:fldCharType="separate"/>
      </w:r>
      <w:r>
        <w:rPr>
          <w:szCs w:val="24"/>
        </w:rPr>
        <w:t>4.1.2.1.6</w:t>
      </w:r>
      <w:r>
        <w:rPr>
          <w:szCs w:val="24"/>
        </w:rPr>
        <w:fldChar w:fldCharType="end"/>
      </w:r>
      <w:r>
        <w:rPr>
          <w:szCs w:val="24"/>
        </w:rPr>
        <w:t>.</w:t>
      </w:r>
    </w:p>
    <w:p w:rsidR="00CD3D47" w:rsidDel="00D913CE" w:rsidRDefault="00CD3D47" w:rsidP="00CD3D47">
      <w:pPr>
        <w:pStyle w:val="1"/>
        <w:numPr>
          <w:ilvl w:val="0"/>
          <w:numId w:val="46"/>
        </w:numPr>
        <w:tabs>
          <w:tab w:val="clear" w:pos="1080"/>
          <w:tab w:val="clear" w:pos="1440"/>
          <w:tab w:val="clear" w:pos="1800"/>
          <w:tab w:val="num" w:pos="720"/>
        </w:tabs>
        <w:spacing w:before="120" w:after="120"/>
        <w:ind w:left="720" w:hanging="540"/>
        <w:rPr>
          <w:del w:id="312" w:author="Micha Bailey" w:date="2014-03-12T14:29:00Z"/>
          <w:szCs w:val="24"/>
        </w:rPr>
      </w:pPr>
      <w:commentRangeStart w:id="313"/>
      <w:del w:id="314" w:author="Micha Bailey" w:date="2014-03-12T14:29:00Z">
        <w:r w:rsidDel="00D913CE">
          <w:rPr>
            <w:szCs w:val="24"/>
          </w:rPr>
          <w:delText>LTCRs</w:delText>
        </w:r>
        <w:r w:rsidR="00D913CE" w:rsidDel="00D913CE">
          <w:rPr>
            <w:szCs w:val="24"/>
          </w:rPr>
          <w:delText xml:space="preserve"> </w:delText>
        </w:r>
        <w:r w:rsidRPr="005E43E7" w:rsidDel="00D913CE">
          <w:delText>awarded in the Annual LTCR Allocation process are not modeled as fixed injections/withdrawals as they have already been accounted for as part of the Annual TCR Auction process and are included as TCRs as described under (4) below</w:delText>
        </w:r>
        <w:r w:rsidDel="00D913CE">
          <w:delText>;</w:delText>
        </w:r>
        <w:commentRangeEnd w:id="313"/>
        <w:r w:rsidDel="00D913CE">
          <w:rPr>
            <w:rStyle w:val="CommentReference"/>
          </w:rPr>
          <w:commentReference w:id="313"/>
        </w:r>
      </w:del>
    </w:p>
    <w:p w:rsidR="00CD3D47" w:rsidRDefault="00CD3D47" w:rsidP="00CD3D47">
      <w:pPr>
        <w:pStyle w:val="1"/>
        <w:numPr>
          <w:ilvl w:val="0"/>
          <w:numId w:val="46"/>
        </w:numPr>
        <w:tabs>
          <w:tab w:val="clear" w:pos="1080"/>
          <w:tab w:val="clear" w:pos="1440"/>
          <w:tab w:val="clear" w:pos="1800"/>
          <w:tab w:val="num" w:pos="720"/>
        </w:tabs>
        <w:spacing w:before="120" w:after="120"/>
        <w:ind w:left="720" w:hanging="540"/>
        <w:rPr>
          <w:szCs w:val="24"/>
        </w:rPr>
      </w:pPr>
      <w:r>
        <w:rPr>
          <w:szCs w:val="24"/>
        </w:rPr>
        <w:t>100% of the Residual SPP Transmission System Capability is made available; and</w:t>
      </w:r>
    </w:p>
    <w:p w:rsidR="00CD3D47" w:rsidRDefault="00CD3D47" w:rsidP="00CD3D47">
      <w:pPr>
        <w:pStyle w:val="1"/>
        <w:numPr>
          <w:ilvl w:val="0"/>
          <w:numId w:val="46"/>
        </w:numPr>
        <w:tabs>
          <w:tab w:val="clear" w:pos="1080"/>
          <w:tab w:val="clear" w:pos="1440"/>
          <w:tab w:val="clear" w:pos="1800"/>
          <w:tab w:val="num" w:pos="720"/>
        </w:tabs>
        <w:spacing w:before="120" w:after="120"/>
        <w:ind w:left="720" w:hanging="540"/>
        <w:rPr>
          <w:szCs w:val="24"/>
        </w:rPr>
      </w:pPr>
      <w:r>
        <w:rPr>
          <w:szCs w:val="24"/>
        </w:rPr>
        <w:t>All TCRs previously awarded in the Annual TCR Auction Process</w:t>
      </w:r>
      <w:commentRangeStart w:id="315"/>
      <w:r w:rsidRPr="005E43E7">
        <w:t xml:space="preserve">, </w:t>
      </w:r>
      <w:ins w:id="316" w:author="Micha Bailey" w:date="2014-03-12T14:29:00Z">
        <w:r w:rsidR="00D913CE">
          <w:t xml:space="preserve">directly converted </w:t>
        </w:r>
      </w:ins>
      <w:r w:rsidRPr="005E43E7">
        <w:t xml:space="preserve">TCRs </w:t>
      </w:r>
      <w:ins w:id="317" w:author="Micha Bailey" w:date="2014-03-12T14:29:00Z">
        <w:r w:rsidR="00D913CE">
          <w:t>from</w:t>
        </w:r>
      </w:ins>
      <w:del w:id="318" w:author="Micha Bailey" w:date="2014-03-12T14:29:00Z">
        <w:r w:rsidRPr="005E43E7" w:rsidDel="00D913CE">
          <w:delText>associated with</w:delText>
        </w:r>
      </w:del>
      <w:r w:rsidRPr="005E43E7">
        <w:t xml:space="preserve"> LTCRs</w:t>
      </w:r>
      <w:del w:id="319" w:author="Micha Bailey" w:date="2014-03-12T14:29:00Z">
        <w:r w:rsidRPr="005E43E7" w:rsidDel="00D913CE">
          <w:delText xml:space="preserve"> that were awarded</w:delText>
        </w:r>
      </w:del>
      <w:r w:rsidRPr="005E43E7">
        <w:t>,</w:t>
      </w:r>
      <w:commentRangeEnd w:id="315"/>
      <w:r>
        <w:rPr>
          <w:rStyle w:val="CommentReference"/>
        </w:rPr>
        <w:commentReference w:id="315"/>
      </w:r>
      <w:r>
        <w:rPr>
          <w:szCs w:val="24"/>
        </w:rPr>
        <w:t xml:space="preserve"> and all remaining ARRs not accounted for in the Annual TCR Auction Process (as defined under Section </w:t>
      </w:r>
      <w:commentRangeStart w:id="320"/>
      <w:r>
        <w:rPr>
          <w:szCs w:val="24"/>
        </w:rPr>
        <w:fldChar w:fldCharType="begin"/>
      </w:r>
      <w:r>
        <w:rPr>
          <w:szCs w:val="24"/>
        </w:rPr>
        <w:instrText xml:space="preserve"> REF _Ref278791842 \r \h </w:instrText>
      </w:r>
      <w:r>
        <w:rPr>
          <w:szCs w:val="24"/>
        </w:rPr>
      </w:r>
      <w:r>
        <w:rPr>
          <w:szCs w:val="24"/>
        </w:rPr>
        <w:fldChar w:fldCharType="separate"/>
      </w:r>
      <w:r>
        <w:rPr>
          <w:szCs w:val="24"/>
        </w:rPr>
        <w:t>5.4</w:t>
      </w:r>
      <w:r>
        <w:rPr>
          <w:szCs w:val="24"/>
        </w:rPr>
        <w:fldChar w:fldCharType="end"/>
      </w:r>
      <w:r>
        <w:rPr>
          <w:szCs w:val="24"/>
        </w:rPr>
        <w:t>), and</w:t>
      </w:r>
      <w:commentRangeEnd w:id="320"/>
      <w:r>
        <w:rPr>
          <w:rStyle w:val="CommentReference"/>
        </w:rPr>
        <w:commentReference w:id="320"/>
      </w:r>
      <w:r>
        <w:rPr>
          <w:szCs w:val="24"/>
        </w:rPr>
        <w:t xml:space="preserve"> for the applicable month are modeled as fixed injections at the specified sources and fixed withdrawals at the specified sinks.  To the extent that these fixed injections and withdrawals are not feasible, SPP will increase the ratings of the applicable transmission lines to ensure feasibility prior to assessing monthly ARR feasibility.</w:t>
      </w:r>
      <w:r w:rsidRPr="00EC4082">
        <w:rPr>
          <w:szCs w:val="24"/>
        </w:rPr>
        <w:t xml:space="preserve"> </w:t>
      </w:r>
      <w:r>
        <w:rPr>
          <w:szCs w:val="24"/>
        </w:rPr>
        <w:t xml:space="preserve"> SPP will report back to the MWG on a quarterly basis regarding the number of times that transmission line ratings had to be adjusted to ensure feasibility.</w:t>
      </w:r>
    </w:p>
    <w:p w:rsidR="00CD3D47" w:rsidRPr="00CD3D47" w:rsidRDefault="00CD3D47" w:rsidP="00CD3D47">
      <w:pPr>
        <w:pStyle w:val="Heading3"/>
        <w:numPr>
          <w:ilvl w:val="2"/>
          <w:numId w:val="0"/>
        </w:numPr>
        <w:tabs>
          <w:tab w:val="num" w:pos="1080"/>
        </w:tabs>
        <w:spacing w:after="240"/>
        <w:ind w:left="1080" w:hanging="1080"/>
        <w:jc w:val="both"/>
        <w:rPr>
          <w:rFonts w:ascii="Times New Roman" w:hAnsi="Times New Roman"/>
          <w:bCs w:val="0"/>
          <w:sz w:val="24"/>
          <w:szCs w:val="24"/>
        </w:rPr>
      </w:pPr>
      <w:bookmarkStart w:id="321" w:name="_Toc263173433"/>
      <w:bookmarkStart w:id="322" w:name="_Toc263173662"/>
      <w:bookmarkStart w:id="323" w:name="_Toc263173850"/>
      <w:bookmarkStart w:id="324" w:name="_Toc263174262"/>
      <w:bookmarkStart w:id="325" w:name="_Toc263235164"/>
      <w:bookmarkStart w:id="326" w:name="_Toc263235808"/>
      <w:bookmarkStart w:id="327" w:name="_Toc263429551"/>
      <w:bookmarkStart w:id="328" w:name="_Toc263795591"/>
      <w:bookmarkStart w:id="329" w:name="_Toc266869767"/>
      <w:bookmarkStart w:id="330" w:name="_Toc381090010"/>
      <w:r w:rsidRPr="00CD3D47">
        <w:rPr>
          <w:rFonts w:ascii="Times New Roman" w:hAnsi="Times New Roman"/>
          <w:bCs w:val="0"/>
          <w:sz w:val="24"/>
          <w:szCs w:val="24"/>
        </w:rPr>
        <w:lastRenderedPageBreak/>
        <w:t>5.6.3</w:t>
      </w:r>
      <w:r w:rsidRPr="00CD3D47">
        <w:rPr>
          <w:rFonts w:ascii="Times New Roman" w:hAnsi="Times New Roman"/>
          <w:bCs w:val="0"/>
          <w:sz w:val="24"/>
          <w:szCs w:val="24"/>
        </w:rPr>
        <w:tab/>
        <w:t>Monthly TCR Auction Clearing and Simultaneous Feasibility</w:t>
      </w:r>
      <w:bookmarkEnd w:id="321"/>
      <w:bookmarkEnd w:id="322"/>
      <w:bookmarkEnd w:id="323"/>
      <w:bookmarkEnd w:id="324"/>
      <w:bookmarkEnd w:id="325"/>
      <w:bookmarkEnd w:id="326"/>
      <w:bookmarkEnd w:id="327"/>
      <w:bookmarkEnd w:id="328"/>
      <w:bookmarkEnd w:id="329"/>
      <w:bookmarkEnd w:id="330"/>
    </w:p>
    <w:p w:rsidR="00CD3D47" w:rsidRDefault="00CD3D47" w:rsidP="00CD3D47">
      <w:pPr>
        <w:pStyle w:val="1"/>
        <w:tabs>
          <w:tab w:val="clear" w:pos="720"/>
          <w:tab w:val="clear" w:pos="1080"/>
        </w:tabs>
        <w:spacing w:before="120" w:after="120"/>
        <w:ind w:left="0" w:firstLine="0"/>
        <w:rPr>
          <w:szCs w:val="24"/>
        </w:rPr>
      </w:pPr>
      <w:r>
        <w:rPr>
          <w:szCs w:val="24"/>
        </w:rPr>
        <w:t>The Auction is performed using a Linear Program algorithm to maximize the total TCR auction value while ensuring that the cleared TCRs are also simultaneously feasible:</w:t>
      </w:r>
    </w:p>
    <w:p w:rsidR="00CD3D47" w:rsidRDefault="00CD3D47" w:rsidP="00CD3D47">
      <w:pPr>
        <w:pStyle w:val="1"/>
        <w:numPr>
          <w:ilvl w:val="0"/>
          <w:numId w:val="47"/>
        </w:numPr>
        <w:tabs>
          <w:tab w:val="clear" w:pos="1080"/>
          <w:tab w:val="clear" w:pos="1800"/>
          <w:tab w:val="num" w:pos="720"/>
        </w:tabs>
        <w:spacing w:before="120" w:after="120"/>
        <w:ind w:left="720" w:hanging="540"/>
        <w:rPr>
          <w:szCs w:val="24"/>
        </w:rPr>
      </w:pPr>
      <w:r>
        <w:rPr>
          <w:szCs w:val="24"/>
        </w:rPr>
        <w:t>The SPP Transmission System topology used in the SFT will be the most up-to-date Network Model, including planned maintenance outages, for the auction month;</w:t>
      </w:r>
    </w:p>
    <w:p w:rsidR="00CD3D47" w:rsidRDefault="00CD3D47" w:rsidP="00CD3D47">
      <w:pPr>
        <w:pStyle w:val="1"/>
        <w:numPr>
          <w:ilvl w:val="1"/>
          <w:numId w:val="47"/>
        </w:numPr>
        <w:tabs>
          <w:tab w:val="clear" w:pos="1080"/>
          <w:tab w:val="clear" w:pos="1800"/>
        </w:tabs>
        <w:spacing w:before="120" w:after="120"/>
        <w:ind w:hanging="540"/>
        <w:rPr>
          <w:szCs w:val="24"/>
        </w:rPr>
      </w:pPr>
      <w:r>
        <w:rPr>
          <w:szCs w:val="24"/>
        </w:rPr>
        <w:t xml:space="preserve">For withdrawals at Settlement Locations containing more than one PNode, SPP will distribute the Settlement Location withdrawal down to the PNode level using load distribution percentages from the peak hour of the corresponding most recent historical period (i.e. June for the month of July).  These load distribution percentages are calculated using the methodology described under Section </w:t>
      </w:r>
      <w:r>
        <w:rPr>
          <w:szCs w:val="24"/>
        </w:rPr>
        <w:fldChar w:fldCharType="begin"/>
      </w:r>
      <w:r>
        <w:rPr>
          <w:szCs w:val="24"/>
        </w:rPr>
        <w:instrText xml:space="preserve"> REF _Ref258484770 \r \h </w:instrText>
      </w:r>
      <w:r>
        <w:rPr>
          <w:szCs w:val="24"/>
        </w:rPr>
      </w:r>
      <w:r>
        <w:rPr>
          <w:szCs w:val="24"/>
        </w:rPr>
        <w:fldChar w:fldCharType="separate"/>
      </w:r>
      <w:r>
        <w:rPr>
          <w:szCs w:val="24"/>
        </w:rPr>
        <w:t>4.1.2.1.6</w:t>
      </w:r>
      <w:r>
        <w:rPr>
          <w:szCs w:val="24"/>
        </w:rPr>
        <w:fldChar w:fldCharType="end"/>
      </w:r>
      <w:r>
        <w:rPr>
          <w:szCs w:val="24"/>
        </w:rPr>
        <w:t>.</w:t>
      </w:r>
    </w:p>
    <w:p w:rsidR="00CD3D47" w:rsidRDefault="00CD3D47" w:rsidP="00CD3D47">
      <w:pPr>
        <w:pStyle w:val="1"/>
        <w:numPr>
          <w:ilvl w:val="1"/>
          <w:numId w:val="47"/>
        </w:numPr>
        <w:tabs>
          <w:tab w:val="clear" w:pos="1080"/>
          <w:tab w:val="clear" w:pos="1800"/>
        </w:tabs>
        <w:spacing w:before="120" w:after="120"/>
        <w:ind w:hanging="540"/>
        <w:rPr>
          <w:szCs w:val="24"/>
        </w:rPr>
      </w:pPr>
      <w:r w:rsidRPr="00E116BB">
        <w:t xml:space="preserve">For injections at </w:t>
      </w:r>
      <w:r>
        <w:t>Market Hubs</w:t>
      </w:r>
      <w:r w:rsidRPr="00E116BB">
        <w:t>, SPP will distribute the hub injection down to the PNode level on a pro-rata basis using the weighting factors defined when the hub is created.</w:t>
      </w:r>
    </w:p>
    <w:p w:rsidR="00CD3D47" w:rsidRDefault="00CD3D47" w:rsidP="00CD3D47">
      <w:pPr>
        <w:pStyle w:val="1"/>
        <w:numPr>
          <w:ilvl w:val="0"/>
          <w:numId w:val="47"/>
        </w:numPr>
        <w:tabs>
          <w:tab w:val="clear" w:pos="1080"/>
          <w:tab w:val="clear" w:pos="1800"/>
          <w:tab w:val="num" w:pos="720"/>
        </w:tabs>
        <w:spacing w:before="120" w:after="120"/>
        <w:ind w:left="720" w:hanging="540"/>
        <w:rPr>
          <w:szCs w:val="24"/>
        </w:rPr>
      </w:pPr>
      <w:r>
        <w:rPr>
          <w:szCs w:val="24"/>
        </w:rPr>
        <w:t xml:space="preserve">The SFT is performed as described under Section </w:t>
      </w:r>
      <w:commentRangeStart w:id="331"/>
      <w:r>
        <w:rPr>
          <w:szCs w:val="24"/>
        </w:rPr>
        <w:fldChar w:fldCharType="begin"/>
      </w:r>
      <w:r>
        <w:rPr>
          <w:szCs w:val="24"/>
        </w:rPr>
        <w:instrText xml:space="preserve"> REF _Ref260828818 \r \h </w:instrText>
      </w:r>
      <w:r>
        <w:rPr>
          <w:szCs w:val="24"/>
        </w:rPr>
      </w:r>
      <w:r>
        <w:rPr>
          <w:szCs w:val="24"/>
        </w:rPr>
        <w:fldChar w:fldCharType="separate"/>
      </w:r>
      <w:r>
        <w:rPr>
          <w:szCs w:val="24"/>
        </w:rPr>
        <w:t>5.5.3</w:t>
      </w:r>
      <w:r>
        <w:rPr>
          <w:szCs w:val="24"/>
        </w:rPr>
        <w:fldChar w:fldCharType="end"/>
      </w:r>
      <w:del w:id="332" w:author="Micha Bailey" w:date="2014-03-12T14:30:00Z">
        <w:r w:rsidRPr="00F3560A" w:rsidDel="00D913CE">
          <w:delText xml:space="preserve"> </w:delText>
        </w:r>
        <w:r w:rsidRPr="005E43E7" w:rsidDel="00D913CE">
          <w:delText>except that LTCRs awarded in the Annual LTCR Allocation process are not modeled as fixed injections/withdrawals since they have already been awarded as self-converted TCRs</w:delText>
        </w:r>
      </w:del>
      <w:r w:rsidRPr="005E43E7">
        <w:t>.</w:t>
      </w:r>
      <w:r>
        <w:rPr>
          <w:szCs w:val="24"/>
        </w:rPr>
        <w:t xml:space="preserve"> </w:t>
      </w:r>
      <w:commentRangeEnd w:id="331"/>
      <w:r>
        <w:rPr>
          <w:rStyle w:val="CommentReference"/>
        </w:rPr>
        <w:commentReference w:id="331"/>
      </w:r>
      <w:r>
        <w:rPr>
          <w:szCs w:val="24"/>
        </w:rPr>
        <w:t>TCR Bid MW</w:t>
      </w:r>
      <w:commentRangeStart w:id="333"/>
      <w:r>
        <w:rPr>
          <w:szCs w:val="24"/>
        </w:rPr>
        <w:t>s are</w:t>
      </w:r>
      <w:commentRangeEnd w:id="333"/>
      <w:r>
        <w:rPr>
          <w:rStyle w:val="CommentReference"/>
        </w:rPr>
        <w:commentReference w:id="333"/>
      </w:r>
      <w:r>
        <w:rPr>
          <w:szCs w:val="24"/>
        </w:rPr>
        <w:t xml:space="preserve"> modeled as an injection at the source and a corresponding withdrawal at the sink.  TCR Offers associated with the sale of existing TCRs are modeled as injections at the sink and withdrawals at the source.  </w:t>
      </w:r>
      <w:bookmarkStart w:id="334" w:name="OLE_LINK240"/>
      <w:bookmarkStart w:id="335" w:name="OLE_LINK241"/>
      <w:r>
        <w:rPr>
          <w:szCs w:val="24"/>
        </w:rPr>
        <w:t>Residual SPP Transmission System Capability</w:t>
      </w:r>
      <w:bookmarkEnd w:id="334"/>
      <w:bookmarkEnd w:id="335"/>
      <w:r>
        <w:rPr>
          <w:szCs w:val="24"/>
        </w:rPr>
        <w:t xml:space="preserve"> includes the most up to date Parallel Flow assumptions.</w:t>
      </w:r>
    </w:p>
    <w:p w:rsidR="00CD3D47" w:rsidRDefault="00CD3D47" w:rsidP="00CD3D47">
      <w:pPr>
        <w:pStyle w:val="1"/>
        <w:numPr>
          <w:ilvl w:val="1"/>
          <w:numId w:val="47"/>
        </w:numPr>
        <w:tabs>
          <w:tab w:val="clear" w:pos="1080"/>
          <w:tab w:val="clear" w:pos="1800"/>
        </w:tabs>
        <w:spacing w:before="120" w:after="120"/>
        <w:ind w:hanging="540"/>
        <w:rPr>
          <w:szCs w:val="24"/>
        </w:rPr>
      </w:pPr>
      <w:r>
        <w:rPr>
          <w:szCs w:val="24"/>
        </w:rPr>
        <w:t>For Round 1, all TCRs awarded in the Annual TCR Auction for the month are modeled as fixed injections and withdrawals.  To the extent that the fixed injections and withdrawals representing TCRs awarded in the Annual TCR Auction are not feasible, SPP will increase the ratings of the applicable transmission lines to ensure feasibility prior to the Round 1 auction.  SPP will report back to the MWG on a quarterly basis regarding the number of times that that transmission line ratings had to be adjusted to ensure feasibility;</w:t>
      </w:r>
    </w:p>
    <w:p w:rsidR="00CD3D47" w:rsidRDefault="00CD3D47" w:rsidP="00CD3D47">
      <w:pPr>
        <w:pStyle w:val="1"/>
        <w:numPr>
          <w:ilvl w:val="1"/>
          <w:numId w:val="47"/>
        </w:numPr>
        <w:tabs>
          <w:tab w:val="clear" w:pos="1080"/>
          <w:tab w:val="clear" w:pos="1800"/>
          <w:tab w:val="clear" w:pos="2160"/>
        </w:tabs>
        <w:spacing w:before="120" w:after="120"/>
        <w:ind w:hanging="540"/>
        <w:rPr>
          <w:szCs w:val="24"/>
        </w:rPr>
      </w:pPr>
      <w:r>
        <w:rPr>
          <w:szCs w:val="24"/>
        </w:rPr>
        <w:t>For Round 2, all TCRs previously awarded for the month are modeled as fixed injections and withdrawals prior to clearing the TCR Bids and Offers.</w:t>
      </w:r>
    </w:p>
    <w:p w:rsidR="00D40927" w:rsidRPr="00632164" w:rsidRDefault="00D40927" w:rsidP="008E003B">
      <w:pPr>
        <w:pStyle w:val="Header"/>
        <w:rPr>
          <w:rFonts w:ascii="Arial" w:hAnsi="Arial" w:cs="Arial"/>
          <w:sz w:val="20"/>
          <w:szCs w:val="20"/>
        </w:rPr>
      </w:pPr>
    </w:p>
    <w:tbl>
      <w:tblPr>
        <w:tblW w:w="10449"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9"/>
      </w:tblGrid>
      <w:tr w:rsidR="00632164" w:rsidRPr="00632164" w:rsidTr="00D25D58">
        <w:trPr>
          <w:trHeight w:hRule="exact" w:val="346"/>
          <w:jc w:val="center"/>
        </w:trPr>
        <w:tc>
          <w:tcPr>
            <w:tcW w:w="10449" w:type="dxa"/>
            <w:vAlign w:val="center"/>
          </w:tcPr>
          <w:p w:rsidR="00632164" w:rsidRPr="00632164" w:rsidRDefault="00632164" w:rsidP="00632164">
            <w:pPr>
              <w:pStyle w:val="Header"/>
              <w:jc w:val="center"/>
              <w:rPr>
                <w:rFonts w:ascii="Arial" w:hAnsi="Arial" w:cs="Arial"/>
                <w:b/>
                <w:sz w:val="20"/>
                <w:szCs w:val="20"/>
              </w:rPr>
            </w:pPr>
            <w:r w:rsidRPr="00632164">
              <w:rPr>
                <w:rFonts w:ascii="Arial" w:hAnsi="Arial" w:cs="Arial"/>
                <w:b/>
                <w:sz w:val="20"/>
                <w:szCs w:val="20"/>
              </w:rPr>
              <w:t>Proposed Tariff Language Revision</w:t>
            </w:r>
          </w:p>
        </w:tc>
      </w:tr>
    </w:tbl>
    <w:p w:rsidR="00632164" w:rsidRPr="00632164" w:rsidRDefault="00632164" w:rsidP="008E003B">
      <w:pPr>
        <w:pStyle w:val="Header"/>
        <w:rPr>
          <w:rFonts w:ascii="Arial" w:hAnsi="Arial" w:cs="Arial"/>
          <w:sz w:val="20"/>
          <w:szCs w:val="20"/>
        </w:rPr>
      </w:pPr>
    </w:p>
    <w:p w:rsidR="00632164" w:rsidRPr="00632164" w:rsidRDefault="00936B11" w:rsidP="008E003B">
      <w:pPr>
        <w:pStyle w:val="Header"/>
        <w:rPr>
          <w:rFonts w:ascii="Arial" w:hAnsi="Arial" w:cs="Arial"/>
          <w:sz w:val="20"/>
          <w:szCs w:val="20"/>
        </w:rPr>
      </w:pPr>
      <w:r>
        <w:rPr>
          <w:rFonts w:ascii="Arial" w:hAnsi="Arial" w:cs="Arial"/>
          <w:sz w:val="20"/>
          <w:szCs w:val="20"/>
        </w:rPr>
        <w:t>Conforming Tariff Langua</w:t>
      </w:r>
      <w:r w:rsidR="00CD3D47">
        <w:rPr>
          <w:rFonts w:ascii="Arial" w:hAnsi="Arial" w:cs="Arial"/>
          <w:sz w:val="20"/>
          <w:szCs w:val="20"/>
        </w:rPr>
        <w:t>ge will be provided</w:t>
      </w:r>
      <w:r>
        <w:rPr>
          <w:rFonts w:ascii="Arial" w:hAnsi="Arial" w:cs="Arial"/>
          <w:sz w:val="20"/>
          <w:szCs w:val="20"/>
        </w:rPr>
        <w:t>.</w:t>
      </w:r>
    </w:p>
    <w:p w:rsidR="00632164" w:rsidRPr="00632164" w:rsidRDefault="00632164" w:rsidP="008E003B">
      <w:pPr>
        <w:pStyle w:val="Header"/>
        <w:rPr>
          <w:rFonts w:ascii="Arial" w:hAnsi="Arial" w:cs="Arial"/>
          <w:sz w:val="20"/>
          <w:szCs w:val="20"/>
        </w:rPr>
      </w:pPr>
    </w:p>
    <w:tbl>
      <w:tblPr>
        <w:tblW w:w="104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40"/>
      </w:tblGrid>
      <w:tr w:rsidR="00743C17" w:rsidRPr="006B26F2" w:rsidTr="00110441">
        <w:trPr>
          <w:trHeight w:hRule="exact" w:val="346"/>
        </w:trPr>
        <w:tc>
          <w:tcPr>
            <w:tcW w:w="10440" w:type="dxa"/>
            <w:vAlign w:val="center"/>
          </w:tcPr>
          <w:p w:rsidR="00743C17" w:rsidRPr="006B26F2" w:rsidRDefault="00743C17" w:rsidP="006B26F2">
            <w:pPr>
              <w:pStyle w:val="Header"/>
              <w:jc w:val="center"/>
              <w:rPr>
                <w:rFonts w:ascii="Arial" w:hAnsi="Arial" w:cs="Arial"/>
                <w:sz w:val="20"/>
                <w:szCs w:val="20"/>
              </w:rPr>
            </w:pPr>
            <w:r w:rsidRPr="006B26F2">
              <w:rPr>
                <w:rFonts w:ascii="Arial" w:hAnsi="Arial" w:cs="Arial"/>
                <w:b/>
                <w:sz w:val="20"/>
                <w:szCs w:val="20"/>
              </w:rPr>
              <w:t>Proposed Criteria Language Revision</w:t>
            </w:r>
          </w:p>
        </w:tc>
      </w:tr>
    </w:tbl>
    <w:p w:rsidR="00632164" w:rsidRPr="00632164" w:rsidRDefault="00632164" w:rsidP="008E003B">
      <w:pPr>
        <w:pStyle w:val="Header"/>
        <w:rPr>
          <w:rFonts w:ascii="Arial" w:hAnsi="Arial" w:cs="Arial"/>
          <w:sz w:val="20"/>
          <w:szCs w:val="20"/>
        </w:rPr>
      </w:pPr>
    </w:p>
    <w:p w:rsidR="00632164" w:rsidRPr="00632164" w:rsidRDefault="00936B11" w:rsidP="008E003B">
      <w:pPr>
        <w:pStyle w:val="Header"/>
        <w:rPr>
          <w:rFonts w:ascii="Arial" w:hAnsi="Arial" w:cs="Arial"/>
          <w:sz w:val="20"/>
          <w:szCs w:val="20"/>
        </w:rPr>
      </w:pPr>
      <w:r>
        <w:rPr>
          <w:rFonts w:ascii="Arial" w:hAnsi="Arial" w:cs="Arial"/>
          <w:sz w:val="20"/>
          <w:szCs w:val="20"/>
        </w:rPr>
        <w:t>N/A</w:t>
      </w:r>
    </w:p>
    <w:p w:rsidR="007E25EC" w:rsidRPr="00632164" w:rsidRDefault="007E25EC" w:rsidP="008E003B">
      <w:pPr>
        <w:rPr>
          <w:rFonts w:ascii="Arial" w:hAnsi="Arial" w:cs="Arial"/>
          <w:sz w:val="20"/>
          <w:szCs w:val="20"/>
        </w:rPr>
      </w:pPr>
    </w:p>
    <w:sectPr w:rsidR="007E25EC" w:rsidRPr="00632164" w:rsidSect="004C5CBE">
      <w:footerReference w:type="default" r:id="rId23"/>
      <w:pgSz w:w="12240" w:h="15840"/>
      <w:pgMar w:top="1080" w:right="1080" w:bottom="1080" w:left="108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7" w:author="MPRR138." w:date="2014-03-12T13:39:00Z" w:initials="MPRR138.">
    <w:p w:rsidR="00C6022C" w:rsidRDefault="00C6022C" w:rsidP="00936B11">
      <w:pPr>
        <w:pStyle w:val="CommentText"/>
      </w:pPr>
      <w:r>
        <w:rPr>
          <w:rStyle w:val="CommentReference"/>
        </w:rPr>
        <w:annotationRef/>
      </w:r>
      <w:r w:rsidRPr="00FD6907">
        <w:t>MPRR138 Awaiting FERC filing</w:t>
      </w:r>
    </w:p>
  </w:comment>
  <w:comment w:id="18" w:author="MPRR138." w:date="2014-03-12T13:39:00Z" w:initials="MPRR138.">
    <w:p w:rsidR="00C6022C" w:rsidRDefault="00C6022C" w:rsidP="00936B11">
      <w:pPr>
        <w:pStyle w:val="CommentText"/>
      </w:pPr>
      <w:r>
        <w:rPr>
          <w:rStyle w:val="CommentReference"/>
        </w:rPr>
        <w:annotationRef/>
      </w:r>
      <w:r w:rsidRPr="009F1B34">
        <w:t>MPRR138 Awaiting FERC filing</w:t>
      </w:r>
    </w:p>
  </w:comment>
  <w:comment w:id="19" w:author="MPRR138." w:date="2014-03-12T13:39:00Z" w:initials="MPRR138.">
    <w:p w:rsidR="00C6022C" w:rsidRDefault="00C6022C" w:rsidP="00936B11">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20" w:author="MPRR138." w:date="2014-03-12T13:39:00Z" w:initials="MPRR138.">
    <w:p w:rsidR="00C6022C" w:rsidRDefault="00C6022C" w:rsidP="00936B11">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21" w:author="MPRR138." w:date="2014-03-12T13:39:00Z" w:initials="MPRR138.">
    <w:p w:rsidR="00C6022C" w:rsidRDefault="00C6022C" w:rsidP="00936B11">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22" w:author="MPRR138." w:date="2014-03-12T13:39:00Z" w:initials="MPRR138.">
    <w:p w:rsidR="00C6022C" w:rsidRDefault="00C6022C" w:rsidP="00936B11">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27" w:author="MPRR138." w:date="2014-03-12T13:39:00Z" w:initials="MPRR138.">
    <w:p w:rsidR="00C6022C" w:rsidRDefault="00C6022C" w:rsidP="00936B11">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30" w:author="MPRR138." w:date="2014-03-12T13:39:00Z" w:initials="MPRR138.">
    <w:p w:rsidR="00C6022C" w:rsidRDefault="00C6022C" w:rsidP="00936B11">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32" w:author="MPRR138." w:date="2014-03-12T13:39:00Z" w:initials="MPRR138.">
    <w:p w:rsidR="00C6022C" w:rsidRDefault="00C6022C" w:rsidP="00936B11">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33" w:author="MPRR138." w:date="2014-03-12T13:39:00Z" w:initials="MPRR138.">
    <w:p w:rsidR="00C6022C" w:rsidRDefault="00C6022C" w:rsidP="00936B11">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34" w:author="MPRR138." w:date="2014-03-12T13:39:00Z" w:initials="MPRR138.">
    <w:p w:rsidR="00C6022C" w:rsidRDefault="00C6022C" w:rsidP="00936B11">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35" w:author="MPRR138." w:date="2014-03-12T13:39:00Z" w:initials="MPRR138.">
    <w:p w:rsidR="00C6022C" w:rsidRDefault="00C6022C" w:rsidP="00936B11">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36" w:author="MPRR138." w:date="2014-03-12T13:39:00Z" w:initials="MPRR138.">
    <w:p w:rsidR="00C6022C" w:rsidRDefault="00C6022C" w:rsidP="00936B11">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37" w:author="MPRR138." w:date="2014-03-12T13:39:00Z" w:initials="MPRR138.">
    <w:p w:rsidR="00C6022C" w:rsidRDefault="00C6022C" w:rsidP="00936B11">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38" w:author="MPRR138." w:date="2014-03-12T13:39:00Z" w:initials="MPRR138.">
    <w:p w:rsidR="00C6022C" w:rsidRDefault="00C6022C" w:rsidP="00936B11">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42" w:author="MPRR138." w:date="2014-03-12T13:39:00Z" w:initials="MPRR138.">
    <w:p w:rsidR="00C6022C" w:rsidRDefault="00C6022C" w:rsidP="00936B11">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43" w:author="MPRR138." w:date="2014-03-12T13:39:00Z" w:initials="MPRR138.">
    <w:p w:rsidR="00C6022C" w:rsidRDefault="00C6022C" w:rsidP="00936B11">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44" w:author="MPRR138." w:date="2014-03-12T13:39:00Z" w:initials="MPRR138.">
    <w:p w:rsidR="00C6022C" w:rsidRDefault="00C6022C" w:rsidP="00936B11">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46" w:author="MPRR138." w:date="2014-03-12T13:39:00Z" w:initials="MPRR138.">
    <w:p w:rsidR="00C6022C" w:rsidRDefault="00C6022C" w:rsidP="00936B11">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51" w:author="MPRR138." w:date="2014-03-12T13:39:00Z" w:initials="MPRR138.">
    <w:p w:rsidR="00C6022C" w:rsidRDefault="00C6022C" w:rsidP="00936B11">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52" w:author="MPRR138." w:date="2014-03-12T13:39:00Z" w:initials="MPRR138.">
    <w:p w:rsidR="00C6022C" w:rsidRDefault="00C6022C" w:rsidP="00936B11">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53" w:author="MPRR138." w:date="2014-03-12T13:39:00Z" w:initials="MPRR138.">
    <w:p w:rsidR="00C6022C" w:rsidRDefault="00C6022C" w:rsidP="00936B11">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54" w:author="MPRR138." w:date="2014-03-12T13:39:00Z" w:initials="MPRR138.">
    <w:p w:rsidR="00C6022C" w:rsidRDefault="00C6022C" w:rsidP="00936B11">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55" w:author="MPRR138." w:date="2014-03-12T13:39:00Z" w:initials="MPRR138.">
    <w:p w:rsidR="00C6022C" w:rsidRDefault="00C6022C" w:rsidP="00936B11">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59" w:author="MPRR138." w:date="2014-03-12T13:39:00Z" w:initials="MPRR138.">
    <w:p w:rsidR="00C6022C" w:rsidRDefault="00C6022C" w:rsidP="00936B11">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81" w:author="MPRR138." w:date="2014-03-12T13:42:00Z" w:initials="MPRR138.">
    <w:p w:rsidR="00C6022C" w:rsidRDefault="00C6022C" w:rsidP="00936B11">
      <w:pPr>
        <w:pStyle w:val="CommentText"/>
      </w:pPr>
      <w:r>
        <w:rPr>
          <w:rStyle w:val="CommentReference"/>
        </w:rPr>
        <w:annotationRef/>
      </w:r>
      <w:r w:rsidRPr="00917571">
        <w:t>MPRR138 Awaiting FERC filing</w:t>
      </w:r>
    </w:p>
  </w:comment>
  <w:comment w:id="82" w:author="MPRR138." w:date="2014-03-12T13:42:00Z" w:initials="MPRR138.">
    <w:p w:rsidR="00C6022C" w:rsidRDefault="00C6022C" w:rsidP="00936B11">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83" w:author="MPRR138." w:date="2014-03-12T13:42:00Z" w:initials="MPRR138.">
    <w:p w:rsidR="00C6022C" w:rsidRDefault="00C6022C" w:rsidP="00936B11">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84" w:author="MPRR138." w:date="2014-03-12T13:42:00Z" w:initials="MPRR138.">
    <w:p w:rsidR="00C6022C" w:rsidRDefault="00C6022C" w:rsidP="00936B11">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88" w:author="MPRR138." w:date="2014-03-12T13:42:00Z" w:initials="MPRR138.">
    <w:p w:rsidR="00C6022C" w:rsidRDefault="00C6022C" w:rsidP="00936B11">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90" w:author="MPRR138." w:date="2014-03-12T13:42:00Z" w:initials="MPRR138.">
    <w:p w:rsidR="00C6022C" w:rsidRDefault="00C6022C" w:rsidP="00936B11">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92" w:author="MPRR138." w:date="2014-03-12T13:42:00Z" w:initials="MPRR138.">
    <w:p w:rsidR="00C6022C" w:rsidRDefault="00C6022C" w:rsidP="00936B11">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93" w:author="MPRR138." w:date="2014-03-12T13:42:00Z" w:initials="MPRR138.">
    <w:p w:rsidR="00C6022C" w:rsidRDefault="00C6022C" w:rsidP="00936B11">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94" w:author="MPRR138." w:date="2014-03-12T13:42:00Z" w:initials="MPRR138.">
    <w:p w:rsidR="00C6022C" w:rsidRDefault="00C6022C" w:rsidP="00936B11">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95" w:author="MPRR138." w:date="2014-03-12T13:42:00Z" w:initials="MPRR138.">
    <w:p w:rsidR="00C6022C" w:rsidRDefault="00C6022C" w:rsidP="00936B11">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96" w:author="MPRR138." w:date="2014-03-12T13:42:00Z" w:initials="MPRR138.">
    <w:p w:rsidR="00C6022C" w:rsidRDefault="00C6022C" w:rsidP="00936B11">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97" w:author="MPRR138." w:date="2014-03-12T13:42:00Z" w:initials="MPRR138.">
    <w:p w:rsidR="00C6022C" w:rsidRDefault="00C6022C" w:rsidP="00936B11">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101" w:author="MPRR138." w:date="2014-03-12T13:42:00Z" w:initials="MPRR138.">
    <w:p w:rsidR="00C6022C" w:rsidRDefault="00C6022C" w:rsidP="00936B11">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102" w:author="MPRR138." w:date="2014-03-12T13:42:00Z" w:initials="MPRR138.">
    <w:p w:rsidR="00C6022C" w:rsidRDefault="00C6022C" w:rsidP="00936B11">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106" w:author="MPRR138." w:date="2014-03-12T13:42:00Z" w:initials="MPRR138.">
    <w:p w:rsidR="00C6022C" w:rsidRDefault="00C6022C" w:rsidP="00936B11">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118" w:author="MPRR138." w:date="2014-03-12T13:47:00Z" w:initials="MPRR138.">
    <w:p w:rsidR="00C6022C" w:rsidRDefault="00C6022C" w:rsidP="006D5404">
      <w:pPr>
        <w:pStyle w:val="CommentText"/>
      </w:pPr>
      <w:r>
        <w:rPr>
          <w:rStyle w:val="CommentReference"/>
        </w:rPr>
        <w:annotationRef/>
      </w:r>
      <w:r w:rsidRPr="00B26253">
        <w:t>MPRR138 Awaiting FERC filing</w:t>
      </w:r>
    </w:p>
  </w:comment>
  <w:comment w:id="119" w:author="MPRR138." w:date="2014-03-12T13:47:00Z" w:initials="MPRR138.">
    <w:p w:rsidR="00C6022C" w:rsidRDefault="00C6022C" w:rsidP="006D5404">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20" w:author="MPRR138." w:date="2014-03-12T13:47:00Z" w:initials="MPRR138.">
    <w:p w:rsidR="00C6022C" w:rsidRDefault="00C6022C" w:rsidP="006D5404">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23" w:author="MPRR138." w:date="2014-03-12T13:47:00Z" w:initials="MPRR138.">
    <w:p w:rsidR="00C6022C" w:rsidRDefault="00C6022C" w:rsidP="006D5404">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24" w:author="MPRR138." w:date="2014-03-12T13:47:00Z" w:initials="MPRR138.">
    <w:p w:rsidR="00C6022C" w:rsidRDefault="00C6022C" w:rsidP="006D5404">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25" w:author="MPRR138." w:date="2014-03-12T13:47:00Z" w:initials="MPRR138.">
    <w:p w:rsidR="00C6022C" w:rsidRDefault="00C6022C" w:rsidP="006D5404">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26" w:author="MPRR138." w:date="2014-03-12T13:47:00Z" w:initials="MPRR138.">
    <w:p w:rsidR="00C6022C" w:rsidRDefault="00C6022C" w:rsidP="006D5404">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27" w:author="MPRR138." w:date="2014-03-12T13:47:00Z" w:initials="MPRR138.">
    <w:p w:rsidR="00C6022C" w:rsidRDefault="00C6022C" w:rsidP="006D5404">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28" w:author="MPRR138." w:date="2014-03-12T13:47:00Z" w:initials="MPRR138.">
    <w:p w:rsidR="00C6022C" w:rsidRDefault="00C6022C" w:rsidP="006D5404">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29" w:author="MPRR138." w:date="2014-03-12T13:47:00Z" w:initials="MPRR138.">
    <w:p w:rsidR="00C6022C" w:rsidRDefault="00C6022C" w:rsidP="006D5404">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32" w:author="MPRR138." w:date="2014-03-12T13:47:00Z" w:initials="MPRR138.">
    <w:p w:rsidR="00C6022C" w:rsidRDefault="00C6022C" w:rsidP="006D5404">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33" w:author="MPRR138." w:date="2014-03-12T13:47:00Z" w:initials="MPRR138.">
    <w:p w:rsidR="00C6022C" w:rsidRDefault="00C6022C" w:rsidP="006D5404">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34" w:author="MPRR138." w:date="2014-03-12T13:47:00Z" w:initials="MPRR138.">
    <w:p w:rsidR="00C6022C" w:rsidRDefault="00C6022C" w:rsidP="006D5404">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35" w:author="MPRR138." w:date="2014-03-12T13:47:00Z" w:initials="MPRR138.">
    <w:p w:rsidR="00C6022C" w:rsidRDefault="00C6022C" w:rsidP="006D5404">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36" w:author="MPRR138." w:date="2014-03-12T13:47:00Z" w:initials="MPRR138.">
    <w:p w:rsidR="00C6022C" w:rsidRDefault="00C6022C" w:rsidP="006D5404">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52" w:author="MPRR138." w:date="2014-03-12T13:50:00Z" w:initials="MPRR138.">
    <w:p w:rsidR="00C6022C" w:rsidRDefault="00C6022C" w:rsidP="006D5404">
      <w:pPr>
        <w:pStyle w:val="CommentText"/>
      </w:pPr>
      <w:r>
        <w:rPr>
          <w:rStyle w:val="CommentReference"/>
        </w:rPr>
        <w:annotationRef/>
      </w:r>
      <w:r w:rsidRPr="00145C1A">
        <w:t>MPRR138 Awaiting FERC filing</w:t>
      </w:r>
    </w:p>
  </w:comment>
  <w:comment w:id="153" w:author="MPRR138." w:date="2014-03-12T13:50:00Z" w:initials="MPRR138.">
    <w:p w:rsidR="00C6022C" w:rsidRDefault="00C6022C" w:rsidP="006D5404">
      <w:pPr>
        <w:pStyle w:val="CommentText"/>
      </w:pPr>
      <w:r w:rsidRPr="00145C1A">
        <w:t>MPRR138 Awaiting FERC filing</w:t>
      </w:r>
      <w:r>
        <w:rPr>
          <w:rStyle w:val="CommentReference"/>
        </w:rPr>
        <w:annotationRef/>
      </w:r>
    </w:p>
  </w:comment>
  <w:comment w:id="154" w:author="MPRR138." w:date="2014-03-12T13:50:00Z" w:initials="MPRR138.">
    <w:p w:rsidR="00C6022C" w:rsidRDefault="00C6022C" w:rsidP="006D5404">
      <w:pPr>
        <w:pStyle w:val="CommentText"/>
      </w:pPr>
      <w:r w:rsidRPr="00145C1A">
        <w:t>MPRR138 Awaiting FERC filing</w:t>
      </w:r>
      <w:r>
        <w:rPr>
          <w:rStyle w:val="CommentReference"/>
        </w:rPr>
        <w:annotationRef/>
      </w:r>
    </w:p>
  </w:comment>
  <w:comment w:id="155" w:author="MPRR138." w:date="2014-03-12T13:50:00Z" w:initials="MPRR138.">
    <w:p w:rsidR="00C6022C" w:rsidRDefault="00C6022C" w:rsidP="006D5404">
      <w:pPr>
        <w:pStyle w:val="CommentText"/>
      </w:pPr>
      <w:r w:rsidRPr="00145C1A">
        <w:t>MPRR138 Awaiting FERC filing</w:t>
      </w:r>
      <w:r>
        <w:rPr>
          <w:rStyle w:val="CommentReference"/>
        </w:rPr>
        <w:annotationRef/>
      </w:r>
    </w:p>
  </w:comment>
  <w:comment w:id="156" w:author="MPRR138." w:date="2014-03-12T13:50:00Z" w:initials="MPRR138.">
    <w:p w:rsidR="00C6022C" w:rsidRDefault="00C6022C" w:rsidP="006D5404">
      <w:pPr>
        <w:pStyle w:val="CommentText"/>
      </w:pPr>
      <w:r w:rsidRPr="00145C1A">
        <w:t>MPRR138 Awaiting FERC filing</w:t>
      </w:r>
      <w:r>
        <w:rPr>
          <w:rStyle w:val="CommentReference"/>
        </w:rPr>
        <w:annotationRef/>
      </w:r>
    </w:p>
  </w:comment>
  <w:comment w:id="157" w:author="MPRR138." w:date="2014-03-12T13:50:00Z" w:initials="MPRR138.">
    <w:p w:rsidR="00C6022C" w:rsidRDefault="00C6022C" w:rsidP="006D5404">
      <w:pPr>
        <w:pStyle w:val="CommentText"/>
      </w:pPr>
      <w:r w:rsidRPr="00145C1A">
        <w:t>MPRR138 Awaiting FERC filing</w:t>
      </w:r>
      <w:r>
        <w:rPr>
          <w:rStyle w:val="CommentReference"/>
        </w:rPr>
        <w:annotationRef/>
      </w:r>
    </w:p>
  </w:comment>
  <w:comment w:id="158" w:author="MPRR138." w:date="2014-03-12T13:50:00Z" w:initials="MPRR138.">
    <w:p w:rsidR="00C6022C" w:rsidRDefault="00C6022C" w:rsidP="006D5404">
      <w:pPr>
        <w:pStyle w:val="CommentText"/>
      </w:pPr>
      <w:r w:rsidRPr="00145C1A">
        <w:t>MPRR138 Awaiting FERC filing</w:t>
      </w:r>
      <w:r>
        <w:rPr>
          <w:rStyle w:val="CommentReference"/>
        </w:rPr>
        <w:annotationRef/>
      </w:r>
    </w:p>
  </w:comment>
  <w:comment w:id="159" w:author="MPRR138." w:date="2014-03-12T13:50:00Z" w:initials="MPRR138.">
    <w:p w:rsidR="00C6022C" w:rsidRDefault="00C6022C" w:rsidP="006D5404">
      <w:pPr>
        <w:pStyle w:val="CommentText"/>
      </w:pPr>
      <w:r w:rsidRPr="00145C1A">
        <w:t>MPRR138 Awaiting FERC filing</w:t>
      </w:r>
      <w:r>
        <w:rPr>
          <w:rStyle w:val="CommentReference"/>
        </w:rPr>
        <w:annotationRef/>
      </w:r>
    </w:p>
  </w:comment>
  <w:comment w:id="162" w:author="MPRR138." w:date="2014-03-12T13:50:00Z" w:initials="MPRR138.">
    <w:p w:rsidR="00C6022C" w:rsidRDefault="00C6022C" w:rsidP="006D5404">
      <w:pPr>
        <w:pStyle w:val="CommentText"/>
      </w:pPr>
      <w:r w:rsidRPr="00145C1A">
        <w:t>MPRR138 Awaiting FERC filing</w:t>
      </w:r>
      <w:r>
        <w:rPr>
          <w:rStyle w:val="CommentReference"/>
        </w:rPr>
        <w:annotationRef/>
      </w:r>
    </w:p>
  </w:comment>
  <w:comment w:id="163" w:author="MPRR138." w:date="2014-03-12T13:50:00Z" w:initials="MPRR138.">
    <w:p w:rsidR="00C6022C" w:rsidRDefault="00C6022C" w:rsidP="006D5404">
      <w:pPr>
        <w:pStyle w:val="CommentText"/>
      </w:pPr>
      <w:r w:rsidRPr="00145C1A">
        <w:t>MPRR138 Awaiting FERC filing</w:t>
      </w:r>
      <w:r>
        <w:rPr>
          <w:rStyle w:val="CommentReference"/>
        </w:rPr>
        <w:annotationRef/>
      </w:r>
    </w:p>
  </w:comment>
  <w:comment w:id="164" w:author="MPRR138." w:date="2014-03-12T13:50:00Z" w:initials="MPRR138.">
    <w:p w:rsidR="00C6022C" w:rsidRDefault="00C6022C" w:rsidP="006D5404">
      <w:pPr>
        <w:pStyle w:val="CommentText"/>
      </w:pPr>
      <w:r w:rsidRPr="00145C1A">
        <w:t>MPRR138 Awaiting FERC filing</w:t>
      </w:r>
      <w:r>
        <w:rPr>
          <w:rStyle w:val="CommentReference"/>
        </w:rPr>
        <w:annotationRef/>
      </w:r>
    </w:p>
  </w:comment>
  <w:comment w:id="165" w:author="MPRR138." w:date="2014-03-12T13:50:00Z" w:initials="MPRR138.">
    <w:p w:rsidR="00C6022C" w:rsidRDefault="00C6022C" w:rsidP="006D5404">
      <w:pPr>
        <w:pStyle w:val="CommentText"/>
      </w:pPr>
      <w:r w:rsidRPr="00145C1A">
        <w:t>MPRR138 Awaiting FERC filing</w:t>
      </w:r>
      <w:r>
        <w:rPr>
          <w:rStyle w:val="CommentReference"/>
        </w:rPr>
        <w:annotationRef/>
      </w:r>
    </w:p>
  </w:comment>
  <w:comment w:id="166" w:author="MPRR138." w:date="2014-03-12T13:50:00Z" w:initials="MPRR138.">
    <w:p w:rsidR="00C6022C" w:rsidRDefault="00C6022C" w:rsidP="006D5404">
      <w:pPr>
        <w:pStyle w:val="CommentText"/>
      </w:pPr>
      <w:r w:rsidRPr="00145C1A">
        <w:t>MPRR138 Awaiting FERC filing</w:t>
      </w:r>
      <w:r>
        <w:rPr>
          <w:rStyle w:val="CommentReference"/>
        </w:rPr>
        <w:annotationRef/>
      </w:r>
    </w:p>
  </w:comment>
  <w:comment w:id="167" w:author="MPRR138." w:date="2014-03-12T13:50:00Z" w:initials="MPRR138.">
    <w:p w:rsidR="00C6022C" w:rsidRDefault="00C6022C" w:rsidP="006D5404">
      <w:pPr>
        <w:pStyle w:val="CommentText"/>
      </w:pPr>
      <w:r w:rsidRPr="00145C1A">
        <w:t>MPRR138 Awaiting FERC filing</w:t>
      </w:r>
      <w:r>
        <w:rPr>
          <w:rStyle w:val="CommentReference"/>
        </w:rPr>
        <w:annotationRef/>
      </w:r>
    </w:p>
  </w:comment>
  <w:comment w:id="168" w:author="MPRR138." w:date="2014-03-12T13:50:00Z" w:initials="MPRR138.">
    <w:p w:rsidR="00C6022C" w:rsidRDefault="00C6022C" w:rsidP="006D5404">
      <w:pPr>
        <w:pStyle w:val="CommentText"/>
      </w:pPr>
      <w:r w:rsidRPr="00145C1A">
        <w:t>MPRR138 Awaiting FERC filing</w:t>
      </w:r>
      <w:r>
        <w:rPr>
          <w:rStyle w:val="CommentReference"/>
        </w:rPr>
        <w:annotationRef/>
      </w:r>
    </w:p>
  </w:comment>
  <w:comment w:id="170" w:author="MPRR138." w:date="2014-03-12T13:50:00Z" w:initials="MPRR138.">
    <w:p w:rsidR="00C6022C" w:rsidRDefault="00C6022C" w:rsidP="006D5404">
      <w:pPr>
        <w:pStyle w:val="CommentText"/>
      </w:pPr>
      <w:r w:rsidRPr="00145C1A">
        <w:t>MPRR138 Awaiting FERC filing</w:t>
      </w:r>
      <w:r>
        <w:rPr>
          <w:rStyle w:val="CommentReference"/>
        </w:rPr>
        <w:annotationRef/>
      </w:r>
    </w:p>
  </w:comment>
  <w:comment w:id="171" w:author="MPRR138." w:date="2014-03-12T13:50:00Z" w:initials="MPRR138.">
    <w:p w:rsidR="00C6022C" w:rsidRDefault="00C6022C" w:rsidP="006D5404">
      <w:pPr>
        <w:pStyle w:val="CommentText"/>
      </w:pPr>
      <w:r w:rsidRPr="00145C1A">
        <w:t>MPRR138 Awaiting FERC filing</w:t>
      </w:r>
      <w:r>
        <w:rPr>
          <w:rStyle w:val="CommentReference"/>
        </w:rPr>
        <w:annotationRef/>
      </w:r>
    </w:p>
  </w:comment>
  <w:comment w:id="172" w:author="MPRR138." w:date="2014-03-12T13:50:00Z" w:initials="MPRR138.">
    <w:p w:rsidR="00C6022C" w:rsidRDefault="00C6022C" w:rsidP="006D5404">
      <w:pPr>
        <w:pStyle w:val="CommentText"/>
      </w:pPr>
      <w:r w:rsidRPr="00145C1A">
        <w:t>MPRR138 Awaiting FERC filing</w:t>
      </w:r>
      <w:r>
        <w:rPr>
          <w:rStyle w:val="CommentReference"/>
        </w:rPr>
        <w:annotationRef/>
      </w:r>
    </w:p>
  </w:comment>
  <w:comment w:id="173" w:author="MPRR138." w:date="2014-03-12T13:50:00Z" w:initials="MPRR138.">
    <w:p w:rsidR="00C6022C" w:rsidRDefault="00C6022C" w:rsidP="006D5404">
      <w:pPr>
        <w:pStyle w:val="CommentText"/>
      </w:pPr>
      <w:r w:rsidRPr="00145C1A">
        <w:t>MPRR138 Awaiting FERC filing</w:t>
      </w:r>
      <w:r>
        <w:rPr>
          <w:rStyle w:val="CommentReference"/>
        </w:rPr>
        <w:annotationRef/>
      </w:r>
    </w:p>
  </w:comment>
  <w:comment w:id="174" w:author="MPRR138." w:date="2014-03-12T13:50:00Z" w:initials="MPRR138.">
    <w:p w:rsidR="00C6022C" w:rsidRDefault="00C6022C" w:rsidP="006D5404">
      <w:pPr>
        <w:pStyle w:val="CommentText"/>
      </w:pPr>
      <w:r w:rsidRPr="00145C1A">
        <w:t>MPRR138 Awaiting FERC filing</w:t>
      </w:r>
      <w:r>
        <w:rPr>
          <w:rStyle w:val="CommentReference"/>
        </w:rPr>
        <w:annotationRef/>
      </w:r>
    </w:p>
  </w:comment>
  <w:comment w:id="175" w:author="MPRR138." w:date="2014-03-12T13:50:00Z" w:initials="MPRR138.">
    <w:p w:rsidR="00C6022C" w:rsidRDefault="00C6022C" w:rsidP="006D5404">
      <w:pPr>
        <w:pStyle w:val="CommentText"/>
      </w:pPr>
      <w:r w:rsidRPr="00145C1A">
        <w:t>MPRR138 Awaiting FERC filing</w:t>
      </w:r>
      <w:r>
        <w:rPr>
          <w:rStyle w:val="CommentReference"/>
        </w:rPr>
        <w:annotationRef/>
      </w:r>
    </w:p>
  </w:comment>
  <w:comment w:id="181" w:author="MPRR138." w:date="2014-03-12T13:50:00Z" w:initials="MPRR138.">
    <w:p w:rsidR="00C6022C" w:rsidRDefault="00C6022C" w:rsidP="006D5404">
      <w:pPr>
        <w:pStyle w:val="CommentText"/>
      </w:pPr>
      <w:r w:rsidRPr="00145C1A">
        <w:t>MPRR138 Awaiting FERC filing</w:t>
      </w:r>
      <w:r>
        <w:rPr>
          <w:rStyle w:val="CommentReference"/>
        </w:rPr>
        <w:annotationRef/>
      </w:r>
    </w:p>
  </w:comment>
  <w:comment w:id="182" w:author="MPRR138." w:date="2014-03-12T13:50:00Z" w:initials="MPRR138.">
    <w:p w:rsidR="00C6022C" w:rsidRDefault="00C6022C" w:rsidP="006D5404">
      <w:pPr>
        <w:pStyle w:val="CommentText"/>
      </w:pPr>
      <w:r w:rsidRPr="00145C1A">
        <w:t>MPRR138 Awaiting FERC filing</w:t>
      </w:r>
      <w:r>
        <w:rPr>
          <w:rStyle w:val="CommentReference"/>
        </w:rPr>
        <w:annotationRef/>
      </w:r>
    </w:p>
  </w:comment>
  <w:comment w:id="183" w:author="MPRR138." w:date="2014-03-12T13:50:00Z" w:initials="MPRR138.">
    <w:p w:rsidR="00C6022C" w:rsidRDefault="00C6022C" w:rsidP="006D5404">
      <w:pPr>
        <w:pStyle w:val="CommentText"/>
      </w:pPr>
      <w:r w:rsidRPr="00145C1A">
        <w:t>MPRR138 Awaiting FERC filing</w:t>
      </w:r>
      <w:r>
        <w:rPr>
          <w:rStyle w:val="CommentReference"/>
        </w:rPr>
        <w:annotationRef/>
      </w:r>
    </w:p>
  </w:comment>
  <w:comment w:id="184" w:author="MPRR138." w:date="2014-03-12T13:50:00Z" w:initials="MPRR138.">
    <w:p w:rsidR="00C6022C" w:rsidRDefault="00C6022C" w:rsidP="006D5404">
      <w:pPr>
        <w:pStyle w:val="CommentText"/>
      </w:pPr>
      <w:r w:rsidRPr="00145C1A">
        <w:t>MPRR138 Awaiting FERC filing</w:t>
      </w:r>
      <w:r>
        <w:rPr>
          <w:rStyle w:val="CommentReference"/>
        </w:rPr>
        <w:annotationRef/>
      </w:r>
    </w:p>
  </w:comment>
  <w:comment w:id="185" w:author="MPRR138." w:date="2014-03-12T13:50:00Z" w:initials="MPRR138.">
    <w:p w:rsidR="00C6022C" w:rsidRDefault="00C6022C" w:rsidP="006D5404">
      <w:pPr>
        <w:pStyle w:val="CommentText"/>
      </w:pPr>
      <w:r w:rsidRPr="00145C1A">
        <w:t>MPRR138 Awaiting FERC filing</w:t>
      </w:r>
      <w:r>
        <w:rPr>
          <w:rStyle w:val="CommentReference"/>
        </w:rPr>
        <w:annotationRef/>
      </w:r>
    </w:p>
  </w:comment>
  <w:comment w:id="186" w:author="MPRR138." w:date="2014-03-12T13:50:00Z" w:initials="MPRR138.">
    <w:p w:rsidR="00C6022C" w:rsidRDefault="00C6022C" w:rsidP="006D5404">
      <w:pPr>
        <w:pStyle w:val="CommentText"/>
      </w:pPr>
      <w:r w:rsidRPr="00145C1A">
        <w:t>MPRR138 Awaiting FERC filing</w:t>
      </w:r>
      <w:r>
        <w:rPr>
          <w:rStyle w:val="CommentReference"/>
        </w:rPr>
        <w:annotationRef/>
      </w:r>
    </w:p>
  </w:comment>
  <w:comment w:id="201" w:author="MPRR138." w:date="2014-03-12T13:53:00Z" w:initials="MPRR138.">
    <w:p w:rsidR="00C6022C" w:rsidRDefault="00C6022C" w:rsidP="0014543A">
      <w:pPr>
        <w:pStyle w:val="CommentText"/>
      </w:pPr>
      <w:r>
        <w:rPr>
          <w:rStyle w:val="CommentReference"/>
        </w:rPr>
        <w:annotationRef/>
      </w:r>
      <w:r w:rsidRPr="009B6244">
        <w:t>MPRR138 Awaiting FERC filing</w:t>
      </w:r>
    </w:p>
  </w:comment>
  <w:comment w:id="202" w:author="MPRR138." w:date="2014-03-12T13:53:00Z" w:initials="MPRR138.">
    <w:p w:rsidR="00C6022C" w:rsidRDefault="00C6022C" w:rsidP="0014543A">
      <w:pPr>
        <w:pStyle w:val="CommentText"/>
      </w:pPr>
      <w:r w:rsidRPr="009B6244">
        <w:t xml:space="preserve">MPRR138 Awaiting FERC filing </w:t>
      </w:r>
      <w:r>
        <w:rPr>
          <w:rStyle w:val="CommentReference"/>
        </w:rPr>
        <w:annotationRef/>
      </w:r>
    </w:p>
  </w:comment>
  <w:comment w:id="207" w:author="MPRR138." w:date="2014-03-12T13:53:00Z" w:initials="MPRR138.">
    <w:p w:rsidR="00C6022C" w:rsidRDefault="00C6022C" w:rsidP="0014543A">
      <w:pPr>
        <w:pStyle w:val="CommentText"/>
      </w:pPr>
      <w:r w:rsidRPr="009B6244">
        <w:t xml:space="preserve">MPRR138 Awaiting FERC filing </w:t>
      </w:r>
      <w:r>
        <w:rPr>
          <w:rStyle w:val="CommentReference"/>
        </w:rPr>
        <w:annotationRef/>
      </w:r>
    </w:p>
  </w:comment>
  <w:comment w:id="222" w:author="MPRR138." w:date="2014-03-12T13:54:00Z" w:initials="MPRR138.">
    <w:p w:rsidR="00C6022C" w:rsidRDefault="00C6022C" w:rsidP="0014543A">
      <w:pPr>
        <w:pStyle w:val="CommentText"/>
      </w:pPr>
      <w:r>
        <w:rPr>
          <w:rStyle w:val="CommentReference"/>
        </w:rPr>
        <w:annotationRef/>
      </w:r>
      <w:r w:rsidRPr="009B6244">
        <w:t>MPRR138 Awaiting FERC filing</w:t>
      </w:r>
    </w:p>
  </w:comment>
  <w:comment w:id="236" w:author="MPRR138." w:date="2014-03-12T13:55:00Z" w:initials="MPRR138.">
    <w:p w:rsidR="00C6022C" w:rsidRDefault="00C6022C" w:rsidP="0014543A">
      <w:pPr>
        <w:pStyle w:val="CommentText"/>
      </w:pPr>
      <w:r w:rsidRPr="009B6244">
        <w:t xml:space="preserve">MPRR138 Awaiting FERC filing </w:t>
      </w:r>
      <w:r>
        <w:rPr>
          <w:rStyle w:val="CommentReference"/>
        </w:rPr>
        <w:annotationRef/>
      </w:r>
    </w:p>
  </w:comment>
  <w:comment w:id="237" w:author="MPRR138." w:date="2014-03-12T13:55:00Z" w:initials="MPRR138.">
    <w:p w:rsidR="00C6022C" w:rsidRDefault="00C6022C" w:rsidP="0014543A">
      <w:pPr>
        <w:pStyle w:val="CommentText"/>
      </w:pPr>
      <w:r w:rsidRPr="009B6244">
        <w:t xml:space="preserve">MPRR138 Awaiting FERC filing </w:t>
      </w:r>
      <w:r>
        <w:rPr>
          <w:rStyle w:val="CommentReference"/>
        </w:rPr>
        <w:annotationRef/>
      </w:r>
    </w:p>
  </w:comment>
  <w:comment w:id="242" w:author="MPRR138." w:date="2014-03-12T13:55:00Z" w:initials="MPRR138.">
    <w:p w:rsidR="00C6022C" w:rsidRDefault="00C6022C" w:rsidP="0014543A">
      <w:pPr>
        <w:pStyle w:val="CommentText"/>
      </w:pPr>
      <w:r w:rsidRPr="009B6244">
        <w:t xml:space="preserve">MPRR138 Awaiting FERC filing </w:t>
      </w:r>
      <w:r>
        <w:rPr>
          <w:rStyle w:val="CommentReference"/>
        </w:rPr>
        <w:annotationRef/>
      </w:r>
    </w:p>
  </w:comment>
  <w:comment w:id="243" w:author="MPRR138." w:date="2014-03-12T13:55:00Z" w:initials="MPRR138.">
    <w:p w:rsidR="00C6022C" w:rsidRDefault="00C6022C" w:rsidP="0014543A">
      <w:pPr>
        <w:pStyle w:val="CommentText"/>
      </w:pPr>
      <w:r w:rsidRPr="009B6244">
        <w:t xml:space="preserve">MPRR138 Awaiting FERC filing </w:t>
      </w:r>
      <w:r>
        <w:rPr>
          <w:rStyle w:val="CommentReference"/>
        </w:rPr>
        <w:annotationRef/>
      </w:r>
    </w:p>
  </w:comment>
  <w:comment w:id="244" w:author="MPRR138." w:date="2014-03-12T13:55:00Z" w:initials="MPRR138.">
    <w:p w:rsidR="00C6022C" w:rsidRDefault="00C6022C" w:rsidP="0014543A">
      <w:pPr>
        <w:pStyle w:val="CommentText"/>
      </w:pPr>
      <w:r w:rsidRPr="009B6244">
        <w:t xml:space="preserve">MPRR138 Awaiting FERC filing </w:t>
      </w:r>
      <w:r>
        <w:rPr>
          <w:rStyle w:val="CommentReference"/>
        </w:rPr>
        <w:annotationRef/>
      </w:r>
    </w:p>
  </w:comment>
  <w:comment w:id="245" w:author="MPRR138." w:date="2014-03-12T13:55:00Z" w:initials="MPRR138.">
    <w:p w:rsidR="00C6022C" w:rsidRDefault="00C6022C" w:rsidP="0014543A">
      <w:pPr>
        <w:pStyle w:val="CommentText"/>
      </w:pPr>
      <w:r w:rsidRPr="009B6244">
        <w:t xml:space="preserve">MPRR138 Awaiting FERC filing </w:t>
      </w:r>
      <w:r>
        <w:rPr>
          <w:rStyle w:val="CommentReference"/>
        </w:rPr>
        <w:annotationRef/>
      </w:r>
    </w:p>
  </w:comment>
  <w:comment w:id="246" w:author="MPRR138." w:date="2014-03-12T13:55:00Z" w:initials="MPRR138.">
    <w:p w:rsidR="00C6022C" w:rsidRDefault="00C6022C" w:rsidP="0014543A">
      <w:pPr>
        <w:pStyle w:val="CommentText"/>
      </w:pPr>
      <w:r w:rsidRPr="009B6244">
        <w:t xml:space="preserve">MPRR138 Awaiting FERC filing </w:t>
      </w:r>
      <w:r>
        <w:rPr>
          <w:rStyle w:val="CommentReference"/>
        </w:rPr>
        <w:annotationRef/>
      </w:r>
    </w:p>
  </w:comment>
  <w:comment w:id="247" w:author="MPRR138." w:date="2014-03-12T13:55:00Z" w:initials="MPRR138.">
    <w:p w:rsidR="00C6022C" w:rsidRDefault="00C6022C" w:rsidP="0014543A">
      <w:pPr>
        <w:pStyle w:val="CommentText"/>
      </w:pPr>
      <w:r w:rsidRPr="009B6244">
        <w:t xml:space="preserve">MPRR138 Awaiting FERC filing </w:t>
      </w:r>
      <w:r>
        <w:rPr>
          <w:rStyle w:val="CommentReference"/>
        </w:rPr>
        <w:annotationRef/>
      </w:r>
    </w:p>
  </w:comment>
  <w:comment w:id="248" w:author="MPRR138." w:date="2014-03-12T13:55:00Z" w:initials="MPRR138.">
    <w:p w:rsidR="00C6022C" w:rsidRDefault="00C6022C" w:rsidP="0014543A">
      <w:pPr>
        <w:pStyle w:val="CommentText"/>
      </w:pPr>
      <w:r w:rsidRPr="009B6244">
        <w:t xml:space="preserve">MPRR138 Awaiting FERC filing </w:t>
      </w:r>
      <w:r>
        <w:rPr>
          <w:rStyle w:val="CommentReference"/>
        </w:rPr>
        <w:annotationRef/>
      </w:r>
    </w:p>
  </w:comment>
  <w:comment w:id="262" w:author="MPRR138." w:date="2014-03-12T13:56:00Z" w:initials="MPRR138.">
    <w:p w:rsidR="00C6022C" w:rsidRDefault="00C6022C" w:rsidP="0014543A">
      <w:pPr>
        <w:pStyle w:val="CommentText"/>
      </w:pPr>
      <w:r>
        <w:rPr>
          <w:rStyle w:val="CommentReference"/>
        </w:rPr>
        <w:annotationRef/>
      </w:r>
      <w:r w:rsidRPr="009B6244">
        <w:t>MPRR138 Awaiting FERC filing</w:t>
      </w:r>
    </w:p>
  </w:comment>
  <w:comment w:id="264" w:author="MPRR138." w:date="2014-03-12T13:56:00Z" w:initials="MPRR138.">
    <w:p w:rsidR="00C6022C" w:rsidRDefault="00C6022C" w:rsidP="0014543A">
      <w:pPr>
        <w:pStyle w:val="CommentText"/>
      </w:pPr>
      <w:r w:rsidRPr="009B6244">
        <w:t xml:space="preserve">MPRR138 Awaiting FERC filing </w:t>
      </w:r>
      <w:r>
        <w:rPr>
          <w:rStyle w:val="CommentReference"/>
        </w:rPr>
        <w:annotationRef/>
      </w:r>
    </w:p>
  </w:comment>
  <w:comment w:id="266" w:author="MPRR138." w:date="2014-03-12T13:56:00Z" w:initials="MPRR138.">
    <w:p w:rsidR="00C6022C" w:rsidRDefault="00C6022C" w:rsidP="0014543A">
      <w:pPr>
        <w:pStyle w:val="CommentText"/>
      </w:pPr>
      <w:r w:rsidRPr="009B6244">
        <w:t xml:space="preserve">MPRR138 Awaiting FERC filing </w:t>
      </w:r>
      <w:r>
        <w:rPr>
          <w:rStyle w:val="CommentReference"/>
        </w:rPr>
        <w:annotationRef/>
      </w:r>
    </w:p>
  </w:comment>
  <w:comment w:id="267" w:author="MPRR138." w:date="2014-03-12T13:56:00Z" w:initials="MPRR138.">
    <w:p w:rsidR="00C6022C" w:rsidRDefault="00C6022C" w:rsidP="0014543A">
      <w:pPr>
        <w:pStyle w:val="CommentText"/>
      </w:pPr>
      <w:r w:rsidRPr="009B6244">
        <w:t xml:space="preserve">MPRR138 Awaiting FERC filing </w:t>
      </w:r>
      <w:r>
        <w:rPr>
          <w:rStyle w:val="CommentReference"/>
        </w:rPr>
        <w:annotationRef/>
      </w:r>
    </w:p>
  </w:comment>
  <w:comment w:id="272" w:author="MPRR138." w:date="2014-03-12T13:57:00Z" w:initials="MPRR138.">
    <w:p w:rsidR="00C6022C" w:rsidRDefault="00C6022C" w:rsidP="0014543A">
      <w:pPr>
        <w:pStyle w:val="CommentText"/>
      </w:pPr>
      <w:r w:rsidRPr="00821E71">
        <w:t xml:space="preserve">MPRR138 Awaiting FERC filing </w:t>
      </w:r>
      <w:r>
        <w:rPr>
          <w:rStyle w:val="CommentReference"/>
        </w:rPr>
        <w:annotationRef/>
      </w:r>
    </w:p>
  </w:comment>
  <w:comment w:id="282" w:author="MPRR138." w:date="2014-03-12T13:57:00Z" w:initials="MPRR138.">
    <w:p w:rsidR="00C6022C" w:rsidRDefault="00C6022C" w:rsidP="0014543A">
      <w:pPr>
        <w:pStyle w:val="CommentText"/>
      </w:pPr>
      <w:r w:rsidRPr="00821E71">
        <w:t xml:space="preserve">MPRR138 Awaiting FERC filing </w:t>
      </w:r>
      <w:r>
        <w:rPr>
          <w:rStyle w:val="CommentReference"/>
        </w:rPr>
        <w:annotationRef/>
      </w:r>
    </w:p>
  </w:comment>
  <w:comment w:id="292" w:author="MPRR138." w:date="2014-03-12T13:57:00Z" w:initials="MPRR138.">
    <w:p w:rsidR="00C6022C" w:rsidRDefault="00C6022C" w:rsidP="0014543A">
      <w:pPr>
        <w:pStyle w:val="CommentText"/>
      </w:pPr>
      <w:r w:rsidRPr="00821E71">
        <w:t xml:space="preserve">MPRR138 Awaiting FERC filing </w:t>
      </w:r>
      <w:r>
        <w:rPr>
          <w:rStyle w:val="CommentReference"/>
        </w:rPr>
        <w:annotationRef/>
      </w:r>
    </w:p>
  </w:comment>
  <w:comment w:id="301" w:author="MPRR138." w:date="2014-03-12T13:57:00Z" w:initials="MPRR138.">
    <w:p w:rsidR="00C6022C" w:rsidRDefault="00C6022C" w:rsidP="0014543A">
      <w:pPr>
        <w:pStyle w:val="CommentText"/>
      </w:pPr>
      <w:r w:rsidRPr="00821E71">
        <w:t xml:space="preserve">MPRR138 Awaiting FERC filing </w:t>
      </w:r>
      <w:r>
        <w:rPr>
          <w:rStyle w:val="CommentReference"/>
        </w:rPr>
        <w:annotationRef/>
      </w:r>
    </w:p>
  </w:comment>
  <w:comment w:id="309" w:author="MPRR138." w:date="2014-03-12T13:57:00Z" w:initials="MPRR138.">
    <w:p w:rsidR="00C6022C" w:rsidRDefault="00C6022C" w:rsidP="0014543A">
      <w:pPr>
        <w:pStyle w:val="CommentText"/>
      </w:pPr>
      <w:r w:rsidRPr="00821E71">
        <w:t xml:space="preserve">MPRR138 Awaiting FERC filing </w:t>
      </w:r>
      <w:r>
        <w:rPr>
          <w:rStyle w:val="CommentReference"/>
        </w:rPr>
        <w:annotationRef/>
      </w:r>
    </w:p>
  </w:comment>
  <w:comment w:id="311" w:author="MPRR138." w:date="2014-03-12T13:59:00Z" w:initials="MPRR138.">
    <w:p w:rsidR="00C6022C" w:rsidRDefault="00C6022C" w:rsidP="00CD3D47">
      <w:pPr>
        <w:pStyle w:val="CommentText"/>
      </w:pPr>
      <w:r>
        <w:rPr>
          <w:rStyle w:val="CommentReference"/>
        </w:rPr>
        <w:annotationRef/>
      </w:r>
      <w:r w:rsidRPr="00F3560A">
        <w:t>MPRR138 Awaiting FERC filing</w:t>
      </w:r>
    </w:p>
  </w:comment>
  <w:comment w:id="313" w:author="MPRR138." w:date="2014-03-12T13:59:00Z" w:initials="MPRR138.">
    <w:p w:rsidR="00C6022C" w:rsidRDefault="00C6022C" w:rsidP="00CD3D47">
      <w:pPr>
        <w:pStyle w:val="CommentText"/>
      </w:pPr>
      <w:r w:rsidRPr="00F3560A">
        <w:t xml:space="preserve">MPRR138 Awaiting FERC filing </w:t>
      </w:r>
      <w:r>
        <w:rPr>
          <w:rStyle w:val="CommentReference"/>
        </w:rPr>
        <w:annotationRef/>
      </w:r>
    </w:p>
  </w:comment>
  <w:comment w:id="315" w:author="MPRR138." w:date="2014-03-12T13:59:00Z" w:initials="MPRR138.">
    <w:p w:rsidR="00C6022C" w:rsidRDefault="00C6022C" w:rsidP="00CD3D47">
      <w:pPr>
        <w:pStyle w:val="CommentText"/>
      </w:pPr>
      <w:r w:rsidRPr="00F3560A">
        <w:t xml:space="preserve">MPRR138 Awaiting FERC filing </w:t>
      </w:r>
      <w:r>
        <w:rPr>
          <w:rStyle w:val="CommentReference"/>
        </w:rPr>
        <w:annotationRef/>
      </w:r>
    </w:p>
  </w:comment>
  <w:comment w:id="320" w:author="MPRR138." w:date="2014-03-12T13:59:00Z" w:initials="MPRR138.">
    <w:p w:rsidR="00C6022C" w:rsidRDefault="00C6022C" w:rsidP="00CD3D47">
      <w:pPr>
        <w:pStyle w:val="CommentText"/>
      </w:pPr>
      <w:r w:rsidRPr="00F3560A">
        <w:t xml:space="preserve">MPRR138 Awaiting FERC filing </w:t>
      </w:r>
      <w:r>
        <w:rPr>
          <w:rStyle w:val="CommentReference"/>
        </w:rPr>
        <w:annotationRef/>
      </w:r>
    </w:p>
  </w:comment>
  <w:comment w:id="331" w:author="MPRR138." w:date="2014-03-12T14:00:00Z" w:initials="MPRR138.">
    <w:p w:rsidR="00C6022C" w:rsidRDefault="00C6022C" w:rsidP="00CD3D47">
      <w:pPr>
        <w:pStyle w:val="CommentText"/>
      </w:pPr>
      <w:r w:rsidRPr="00F3560A">
        <w:t xml:space="preserve">MPRR138 Awaiting FERC filing </w:t>
      </w:r>
      <w:r>
        <w:rPr>
          <w:rStyle w:val="CommentReference"/>
        </w:rPr>
        <w:annotationRef/>
      </w:r>
    </w:p>
  </w:comment>
  <w:comment w:id="333" w:author="MPRR138." w:date="2014-03-12T14:00:00Z" w:initials="MPRR138.">
    <w:p w:rsidR="00C6022C" w:rsidRDefault="00C6022C" w:rsidP="00CD3D47">
      <w:pPr>
        <w:pStyle w:val="CommentText"/>
      </w:pPr>
      <w:r w:rsidRPr="00F3560A">
        <w:t xml:space="preserve">MPRR138 Awaiting FERC filing </w:t>
      </w:r>
      <w:r>
        <w:rPr>
          <w:rStyle w:val="CommentReference"/>
        </w:rPr>
        <w:annotationRef/>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0C3" w:rsidRDefault="008410C3">
      <w:r>
        <w:separator/>
      </w:r>
    </w:p>
  </w:endnote>
  <w:endnote w:type="continuationSeparator" w:id="0">
    <w:p w:rsidR="008410C3" w:rsidRDefault="008410C3">
      <w:r>
        <w:continuationSeparator/>
      </w:r>
    </w:p>
  </w:endnote>
  <w:endnote w:type="continuationNotice" w:id="1">
    <w:p w:rsidR="008410C3" w:rsidRDefault="008410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30F" w:rsidRPr="00BD4E96" w:rsidRDefault="006B130F" w:rsidP="006B130F">
    <w:pPr>
      <w:pStyle w:val="Footer"/>
      <w:pBdr>
        <w:top w:val="single" w:sz="4" w:space="1" w:color="auto"/>
      </w:pBdr>
      <w:tabs>
        <w:tab w:val="clear" w:pos="4320"/>
        <w:tab w:val="clear" w:pos="8640"/>
        <w:tab w:val="right" w:pos="936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171 LTCR Clarifications.docx</w:t>
    </w:r>
    <w:r w:rsidRPr="00376DD5">
      <w:rPr>
        <w:sz w:val="18"/>
      </w:rPr>
      <w:fldChar w:fldCharType="end"/>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Pr>
        <w:noProof/>
        <w:sz w:val="18"/>
      </w:rPr>
      <w:t>1</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Pr>
        <w:noProof/>
        <w:sz w:val="18"/>
      </w:rPr>
      <w:t>22</w:t>
    </w:r>
    <w:r w:rsidRPr="00376DD5">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22C" w:rsidRPr="00BD4E96" w:rsidRDefault="00C6022C" w:rsidP="00BD4E96">
    <w:pPr>
      <w:pStyle w:val="Footer"/>
      <w:pBdr>
        <w:top w:val="single" w:sz="4" w:space="1" w:color="auto"/>
      </w:pBdr>
      <w:tabs>
        <w:tab w:val="clear" w:pos="4320"/>
        <w:tab w:val="clear" w:pos="8640"/>
        <w:tab w:val="right" w:pos="936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171 LTCR Clarifications.docx</w:t>
    </w:r>
    <w:r w:rsidRPr="00376DD5">
      <w:rPr>
        <w:sz w:val="18"/>
      </w:rPr>
      <w:fldChar w:fldCharType="end"/>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sidR="006B130F">
      <w:rPr>
        <w:noProof/>
        <w:sz w:val="18"/>
      </w:rPr>
      <w:t>22</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6B130F">
      <w:rPr>
        <w:noProof/>
        <w:sz w:val="18"/>
      </w:rPr>
      <w:t>22</w:t>
    </w:r>
    <w:r w:rsidRPr="00376DD5">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0C3" w:rsidRDefault="008410C3">
      <w:r>
        <w:separator/>
      </w:r>
    </w:p>
  </w:footnote>
  <w:footnote w:type="continuationSeparator" w:id="0">
    <w:p w:rsidR="008410C3" w:rsidRDefault="008410C3">
      <w:r>
        <w:continuationSeparator/>
      </w:r>
    </w:p>
  </w:footnote>
  <w:footnote w:type="continuationNotice" w:id="1">
    <w:p w:rsidR="008410C3" w:rsidRDefault="008410C3"/>
  </w:footnote>
  <w:footnote w:id="2">
    <w:p w:rsidR="00C6022C" w:rsidRPr="002A21D9" w:rsidRDefault="00C6022C" w:rsidP="00936B11">
      <w:pPr>
        <w:pStyle w:val="FootnoteText"/>
      </w:pPr>
      <w:r w:rsidRPr="008D530B">
        <w:rPr>
          <w:rStyle w:val="FootnoteReference"/>
        </w:rPr>
        <w:footnoteRef/>
      </w:r>
      <w:r w:rsidRPr="008D530B">
        <w:t xml:space="preserve"> October and November</w:t>
      </w:r>
    </w:p>
  </w:footnote>
  <w:footnote w:id="3">
    <w:p w:rsidR="00C6022C" w:rsidRPr="002A21D9" w:rsidRDefault="00C6022C" w:rsidP="00936B11">
      <w:pPr>
        <w:pStyle w:val="FootnoteText"/>
      </w:pPr>
      <w:r w:rsidRPr="008D530B">
        <w:rPr>
          <w:rStyle w:val="FootnoteReference"/>
        </w:rPr>
        <w:footnoteRef/>
      </w:r>
      <w:r w:rsidRPr="008D530B">
        <w:t xml:space="preserve"> </w:t>
      </w:r>
      <w:r w:rsidRPr="002A21D9">
        <w:t>December, January, February</w:t>
      </w:r>
      <w:r>
        <w:t>,</w:t>
      </w:r>
      <w:r w:rsidRPr="002A21D9">
        <w:t xml:space="preserve"> March</w:t>
      </w:r>
    </w:p>
  </w:footnote>
  <w:footnote w:id="4">
    <w:p w:rsidR="00C6022C" w:rsidRPr="002A21D9" w:rsidRDefault="00C6022C" w:rsidP="00936B11">
      <w:pPr>
        <w:pStyle w:val="FootnoteText"/>
      </w:pPr>
      <w:r w:rsidRPr="008D530B">
        <w:rPr>
          <w:rStyle w:val="FootnoteReference"/>
        </w:rPr>
        <w:footnoteRef/>
      </w:r>
      <w:r w:rsidRPr="008D530B">
        <w:t xml:space="preserve"> Apri</w:t>
      </w:r>
      <w:r>
        <w:t>l</w:t>
      </w:r>
      <w:r w:rsidRPr="008D530B">
        <w:t xml:space="preserve"> and May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22C" w:rsidRPr="00936B11" w:rsidRDefault="00C6022C" w:rsidP="00936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2">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EB558A3"/>
    <w:multiLevelType w:val="hybridMultilevel"/>
    <w:tmpl w:val="61AC8114"/>
    <w:lvl w:ilvl="0" w:tplc="6E46100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122E23BB"/>
    <w:multiLevelType w:val="hybridMultilevel"/>
    <w:tmpl w:val="CB6A33F0"/>
    <w:lvl w:ilvl="0" w:tplc="DF2AD5E6">
      <w:start w:val="1"/>
      <w:numFmt w:val="lowerLetter"/>
      <w:lvlText w:val="(%1)"/>
      <w:lvlJc w:val="left"/>
      <w:pPr>
        <w:tabs>
          <w:tab w:val="num" w:pos="1800"/>
        </w:tabs>
        <w:ind w:left="1800" w:hanging="360"/>
      </w:pPr>
      <w:rPr>
        <w:rFonts w:hint="default"/>
      </w:rPr>
    </w:lvl>
    <w:lvl w:ilvl="1" w:tplc="51244D90">
      <w:start w:val="1"/>
      <w:numFmt w:val="lowerLetter"/>
      <w:lvlText w:val="%2."/>
      <w:lvlJc w:val="left"/>
      <w:pPr>
        <w:tabs>
          <w:tab w:val="num" w:pos="2880"/>
        </w:tabs>
        <w:ind w:left="2880" w:hanging="360"/>
      </w:pPr>
    </w:lvl>
    <w:lvl w:ilvl="2" w:tplc="DCE4BE1A">
      <w:start w:val="1"/>
      <w:numFmt w:val="lowerRoman"/>
      <w:lvlText w:val="%3."/>
      <w:lvlJc w:val="right"/>
      <w:pPr>
        <w:tabs>
          <w:tab w:val="num" w:pos="3600"/>
        </w:tabs>
        <w:ind w:left="3600" w:hanging="180"/>
      </w:pPr>
    </w:lvl>
    <w:lvl w:ilvl="3" w:tplc="7F3A7C4A">
      <w:start w:val="1"/>
      <w:numFmt w:val="decimal"/>
      <w:lvlText w:val="%4."/>
      <w:lvlJc w:val="left"/>
      <w:pPr>
        <w:tabs>
          <w:tab w:val="num" w:pos="4320"/>
        </w:tabs>
        <w:ind w:left="4320" w:hanging="360"/>
      </w:pPr>
    </w:lvl>
    <w:lvl w:ilvl="4" w:tplc="9CF04084" w:tentative="1">
      <w:start w:val="1"/>
      <w:numFmt w:val="lowerLetter"/>
      <w:lvlText w:val="%5."/>
      <w:lvlJc w:val="left"/>
      <w:pPr>
        <w:tabs>
          <w:tab w:val="num" w:pos="5040"/>
        </w:tabs>
        <w:ind w:left="5040" w:hanging="360"/>
      </w:pPr>
    </w:lvl>
    <w:lvl w:ilvl="5" w:tplc="6AD015E6" w:tentative="1">
      <w:start w:val="1"/>
      <w:numFmt w:val="lowerRoman"/>
      <w:lvlText w:val="%6."/>
      <w:lvlJc w:val="right"/>
      <w:pPr>
        <w:tabs>
          <w:tab w:val="num" w:pos="5760"/>
        </w:tabs>
        <w:ind w:left="5760" w:hanging="180"/>
      </w:pPr>
    </w:lvl>
    <w:lvl w:ilvl="6" w:tplc="9BCC6BCC" w:tentative="1">
      <w:start w:val="1"/>
      <w:numFmt w:val="decimal"/>
      <w:lvlText w:val="%7."/>
      <w:lvlJc w:val="left"/>
      <w:pPr>
        <w:tabs>
          <w:tab w:val="num" w:pos="6480"/>
        </w:tabs>
        <w:ind w:left="6480" w:hanging="360"/>
      </w:pPr>
    </w:lvl>
    <w:lvl w:ilvl="7" w:tplc="DF623ED8" w:tentative="1">
      <w:start w:val="1"/>
      <w:numFmt w:val="lowerLetter"/>
      <w:lvlText w:val="%8."/>
      <w:lvlJc w:val="left"/>
      <w:pPr>
        <w:tabs>
          <w:tab w:val="num" w:pos="7200"/>
        </w:tabs>
        <w:ind w:left="7200" w:hanging="360"/>
      </w:pPr>
    </w:lvl>
    <w:lvl w:ilvl="8" w:tplc="68B8D668" w:tentative="1">
      <w:start w:val="1"/>
      <w:numFmt w:val="lowerRoman"/>
      <w:lvlText w:val="%9."/>
      <w:lvlJc w:val="right"/>
      <w:pPr>
        <w:tabs>
          <w:tab w:val="num" w:pos="7920"/>
        </w:tabs>
        <w:ind w:left="7920" w:hanging="180"/>
      </w:pPr>
    </w:lvl>
  </w:abstractNum>
  <w:abstractNum w:abstractNumId="16">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B923AB"/>
    <w:multiLevelType w:val="hybridMultilevel"/>
    <w:tmpl w:val="01F203E2"/>
    <w:lvl w:ilvl="0" w:tplc="4A1EB964">
      <w:start w:val="1"/>
      <w:numFmt w:val="decimal"/>
      <w:lvlText w:val="(%1)"/>
      <w:lvlJc w:val="left"/>
      <w:pPr>
        <w:tabs>
          <w:tab w:val="num" w:pos="2340"/>
        </w:tabs>
        <w:ind w:left="2340" w:hanging="360"/>
      </w:pPr>
      <w:rPr>
        <w:rFonts w:hint="default"/>
      </w:rPr>
    </w:lvl>
    <w:lvl w:ilvl="1" w:tplc="04090003">
      <w:start w:val="1"/>
      <w:numFmt w:val="lowerLetter"/>
      <w:lvlText w:val="%2."/>
      <w:lvlJc w:val="left"/>
      <w:pPr>
        <w:tabs>
          <w:tab w:val="num" w:pos="3060"/>
        </w:tabs>
        <w:ind w:left="3060" w:hanging="360"/>
      </w:pPr>
    </w:lvl>
    <w:lvl w:ilvl="2" w:tplc="04090005" w:tentative="1">
      <w:start w:val="1"/>
      <w:numFmt w:val="lowerRoman"/>
      <w:lvlText w:val="%3."/>
      <w:lvlJc w:val="right"/>
      <w:pPr>
        <w:tabs>
          <w:tab w:val="num" w:pos="3780"/>
        </w:tabs>
        <w:ind w:left="3780" w:hanging="180"/>
      </w:pPr>
    </w:lvl>
    <w:lvl w:ilvl="3" w:tplc="04090001" w:tentative="1">
      <w:start w:val="1"/>
      <w:numFmt w:val="decimal"/>
      <w:lvlText w:val="%4."/>
      <w:lvlJc w:val="left"/>
      <w:pPr>
        <w:tabs>
          <w:tab w:val="num" w:pos="4500"/>
        </w:tabs>
        <w:ind w:left="4500" w:hanging="360"/>
      </w:pPr>
    </w:lvl>
    <w:lvl w:ilvl="4" w:tplc="04090003" w:tentative="1">
      <w:start w:val="1"/>
      <w:numFmt w:val="lowerLetter"/>
      <w:lvlText w:val="%5."/>
      <w:lvlJc w:val="left"/>
      <w:pPr>
        <w:tabs>
          <w:tab w:val="num" w:pos="5220"/>
        </w:tabs>
        <w:ind w:left="5220" w:hanging="360"/>
      </w:pPr>
    </w:lvl>
    <w:lvl w:ilvl="5" w:tplc="04090005" w:tentative="1">
      <w:start w:val="1"/>
      <w:numFmt w:val="lowerRoman"/>
      <w:lvlText w:val="%6."/>
      <w:lvlJc w:val="right"/>
      <w:pPr>
        <w:tabs>
          <w:tab w:val="num" w:pos="5940"/>
        </w:tabs>
        <w:ind w:left="5940" w:hanging="180"/>
      </w:pPr>
    </w:lvl>
    <w:lvl w:ilvl="6" w:tplc="04090001" w:tentative="1">
      <w:start w:val="1"/>
      <w:numFmt w:val="decimal"/>
      <w:lvlText w:val="%7."/>
      <w:lvlJc w:val="left"/>
      <w:pPr>
        <w:tabs>
          <w:tab w:val="num" w:pos="6660"/>
        </w:tabs>
        <w:ind w:left="6660" w:hanging="360"/>
      </w:pPr>
    </w:lvl>
    <w:lvl w:ilvl="7" w:tplc="04090003" w:tentative="1">
      <w:start w:val="1"/>
      <w:numFmt w:val="lowerLetter"/>
      <w:lvlText w:val="%8."/>
      <w:lvlJc w:val="left"/>
      <w:pPr>
        <w:tabs>
          <w:tab w:val="num" w:pos="7380"/>
        </w:tabs>
        <w:ind w:left="7380" w:hanging="360"/>
      </w:pPr>
    </w:lvl>
    <w:lvl w:ilvl="8" w:tplc="04090005" w:tentative="1">
      <w:start w:val="1"/>
      <w:numFmt w:val="lowerRoman"/>
      <w:lvlText w:val="%9."/>
      <w:lvlJc w:val="right"/>
      <w:pPr>
        <w:tabs>
          <w:tab w:val="num" w:pos="8100"/>
        </w:tabs>
        <w:ind w:left="8100" w:hanging="180"/>
      </w:pPr>
    </w:lvl>
  </w:abstractNum>
  <w:abstractNum w:abstractNumId="18">
    <w:nsid w:val="2B0D4FB8"/>
    <w:multiLevelType w:val="hybridMultilevel"/>
    <w:tmpl w:val="04708E5C"/>
    <w:lvl w:ilvl="0" w:tplc="C9BCB580">
      <w:start w:val="1"/>
      <w:numFmt w:val="lowerRoman"/>
      <w:lvlText w:val="(%1)"/>
      <w:lvlJc w:val="righ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9">
    <w:nsid w:val="2E233F5B"/>
    <w:multiLevelType w:val="hybridMultilevel"/>
    <w:tmpl w:val="E35CC2C0"/>
    <w:lvl w:ilvl="0" w:tplc="04090001">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2EA93BAC"/>
    <w:multiLevelType w:val="hybridMultilevel"/>
    <w:tmpl w:val="8C4E3872"/>
    <w:lvl w:ilvl="0" w:tplc="0409000F">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decimal"/>
      <w:lvlText w:val="(%3)"/>
      <w:lvlJc w:val="left"/>
      <w:pPr>
        <w:ind w:left="2340" w:hanging="360"/>
      </w:pPr>
      <w:rPr>
        <w:rFonts w:hint="default"/>
      </w:rPr>
    </w:lvl>
    <w:lvl w:ilvl="3" w:tplc="0409000F">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6B3349"/>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26">
    <w:nsid w:val="48565555"/>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27">
    <w:nsid w:val="48A65F2F"/>
    <w:multiLevelType w:val="hybridMultilevel"/>
    <w:tmpl w:val="B70CC0AA"/>
    <w:lvl w:ilvl="0" w:tplc="C9BCB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1F84C55"/>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30">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0C6FF1"/>
    <w:multiLevelType w:val="hybridMultilevel"/>
    <w:tmpl w:val="582AA45A"/>
    <w:lvl w:ilvl="0" w:tplc="7FE60B22">
      <w:start w:val="1"/>
      <w:numFmt w:val="decimal"/>
      <w:lvlText w:val="(%1)"/>
      <w:lvlJc w:val="left"/>
      <w:pPr>
        <w:ind w:left="900" w:hanging="360"/>
      </w:pPr>
      <w:rPr>
        <w:rFonts w:hint="default"/>
      </w:rPr>
    </w:lvl>
    <w:lvl w:ilvl="1" w:tplc="FFFFFFFF">
      <w:start w:val="1"/>
      <w:numFmt w:val="lowerLetter"/>
      <w:lvlText w:val="%2."/>
      <w:lvlJc w:val="left"/>
      <w:pPr>
        <w:ind w:left="1620" w:hanging="360"/>
      </w:pPr>
    </w:lvl>
    <w:lvl w:ilvl="2" w:tplc="5202A512"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3">
    <w:nsid w:val="55805EBF"/>
    <w:multiLevelType w:val="hybridMultilevel"/>
    <w:tmpl w:val="6F9C31D6"/>
    <w:lvl w:ilvl="0" w:tplc="BEA40F1C">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7AB7851"/>
    <w:multiLevelType w:val="hybridMultilevel"/>
    <w:tmpl w:val="A820706C"/>
    <w:lvl w:ilvl="0" w:tplc="73B0C170">
      <w:start w:val="1"/>
      <w:numFmt w:val="decimal"/>
      <w:lvlText w:val="(%1)"/>
      <w:lvlJc w:val="left"/>
      <w:pPr>
        <w:tabs>
          <w:tab w:val="num" w:pos="720"/>
        </w:tabs>
        <w:ind w:left="720" w:hanging="360"/>
      </w:pPr>
      <w:rPr>
        <w:rFonts w:hint="default"/>
      </w:rPr>
    </w:lvl>
    <w:lvl w:ilvl="1" w:tplc="73B0C170">
      <w:start w:val="1"/>
      <w:numFmt w:val="lowerLetter"/>
      <w:lvlText w:val="(%2)"/>
      <w:lvlJc w:val="left"/>
      <w:pPr>
        <w:tabs>
          <w:tab w:val="num" w:pos="1440"/>
        </w:tabs>
        <w:ind w:left="1440" w:hanging="360"/>
      </w:pPr>
      <w:rPr>
        <w:rFonts w:hint="default"/>
      </w:rPr>
    </w:lvl>
    <w:lvl w:ilvl="2" w:tplc="01206EF4" w:tentative="1">
      <w:start w:val="1"/>
      <w:numFmt w:val="lowerRoman"/>
      <w:lvlText w:val="%3."/>
      <w:lvlJc w:val="right"/>
      <w:pPr>
        <w:tabs>
          <w:tab w:val="num" w:pos="2160"/>
        </w:tabs>
        <w:ind w:left="2160" w:hanging="180"/>
      </w:pPr>
    </w:lvl>
    <w:lvl w:ilvl="3" w:tplc="73B0C170"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58A212ED"/>
    <w:multiLevelType w:val="hybridMultilevel"/>
    <w:tmpl w:val="FDA410E2"/>
    <w:lvl w:ilvl="0" w:tplc="BEA40F1C">
      <w:start w:val="1"/>
      <w:numFmt w:val="decimal"/>
      <w:lvlText w:val="(%1)"/>
      <w:lvlJc w:val="left"/>
      <w:pPr>
        <w:tabs>
          <w:tab w:val="num" w:pos="1440"/>
        </w:tabs>
        <w:ind w:left="1440" w:hanging="360"/>
      </w:pPr>
      <w:rPr>
        <w:rFonts w:hint="default"/>
      </w:rPr>
    </w:lvl>
    <w:lvl w:ilvl="1" w:tplc="73B0C170">
      <w:start w:val="1"/>
      <w:numFmt w:val="lowerLetter"/>
      <w:lvlText w:val="(%2)"/>
      <w:lvlJc w:val="left"/>
      <w:pPr>
        <w:tabs>
          <w:tab w:val="num" w:pos="1440"/>
        </w:tabs>
        <w:ind w:left="1440" w:hanging="360"/>
      </w:pPr>
      <w:rPr>
        <w:rFonts w:hint="default"/>
      </w:rPr>
    </w:lvl>
    <w:lvl w:ilvl="2" w:tplc="0409001B">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5E3571EB"/>
    <w:multiLevelType w:val="hybridMultilevel"/>
    <w:tmpl w:val="6F9C31D6"/>
    <w:lvl w:ilvl="0" w:tplc="BEA40F1C">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C1C2CA0"/>
    <w:multiLevelType w:val="hybridMultilevel"/>
    <w:tmpl w:val="E35CC2C0"/>
    <w:lvl w:ilvl="0" w:tplc="04090001">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5E23D9B"/>
    <w:multiLevelType w:val="hybridMultilevel"/>
    <w:tmpl w:val="4BC664B4"/>
    <w:lvl w:ilvl="0" w:tplc="73B0C170">
      <w:start w:val="1"/>
      <w:numFmt w:val="lowerLetter"/>
      <w:lvlText w:val="(%1)"/>
      <w:lvlJc w:val="left"/>
      <w:pPr>
        <w:ind w:left="1980" w:hanging="360"/>
      </w:pPr>
      <w:rPr>
        <w:rFonts w:hint="default"/>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1">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C71898"/>
    <w:multiLevelType w:val="hybridMultilevel"/>
    <w:tmpl w:val="F8E8627E"/>
    <w:lvl w:ilvl="0" w:tplc="DE64632C">
      <w:start w:val="1"/>
      <w:numFmt w:val="lowerLetter"/>
      <w:lvlText w:val="(%1)"/>
      <w:lvlJc w:val="left"/>
      <w:pPr>
        <w:ind w:left="720" w:hanging="360"/>
      </w:pPr>
      <w:rPr>
        <w:rFonts w:hint="default"/>
      </w:rPr>
    </w:lvl>
    <w:lvl w:ilvl="1" w:tplc="0B1687D0">
      <w:start w:val="1"/>
      <w:numFmt w:val="lowerLetter"/>
      <w:lvlText w:val="(%2)"/>
      <w:lvlJc w:val="left"/>
      <w:pPr>
        <w:ind w:left="1440" w:hanging="360"/>
      </w:pPr>
      <w:rPr>
        <w:rFonts w:hint="default"/>
      </w:rPr>
    </w:lvl>
    <w:lvl w:ilvl="2" w:tplc="BCB88E3A" w:tentative="1">
      <w:start w:val="1"/>
      <w:numFmt w:val="lowerRoman"/>
      <w:lvlText w:val="%3."/>
      <w:lvlJc w:val="right"/>
      <w:pPr>
        <w:ind w:left="2160" w:hanging="180"/>
      </w:pPr>
    </w:lvl>
    <w:lvl w:ilvl="3" w:tplc="BF2EFC82">
      <w:start w:val="1"/>
      <w:numFmt w:val="decimal"/>
      <w:lvlText w:val="%4."/>
      <w:lvlJc w:val="left"/>
      <w:pPr>
        <w:ind w:left="2880" w:hanging="360"/>
      </w:pPr>
    </w:lvl>
    <w:lvl w:ilvl="4" w:tplc="C994E4E4" w:tentative="1">
      <w:start w:val="1"/>
      <w:numFmt w:val="lowerLetter"/>
      <w:lvlText w:val="%5."/>
      <w:lvlJc w:val="left"/>
      <w:pPr>
        <w:ind w:left="3600" w:hanging="360"/>
      </w:pPr>
    </w:lvl>
    <w:lvl w:ilvl="5" w:tplc="A866DABE" w:tentative="1">
      <w:start w:val="1"/>
      <w:numFmt w:val="lowerRoman"/>
      <w:lvlText w:val="%6."/>
      <w:lvlJc w:val="right"/>
      <w:pPr>
        <w:ind w:left="4320" w:hanging="180"/>
      </w:pPr>
    </w:lvl>
    <w:lvl w:ilvl="6" w:tplc="4C468B42" w:tentative="1">
      <w:start w:val="1"/>
      <w:numFmt w:val="decimal"/>
      <w:lvlText w:val="%7."/>
      <w:lvlJc w:val="left"/>
      <w:pPr>
        <w:ind w:left="5040" w:hanging="360"/>
      </w:pPr>
    </w:lvl>
    <w:lvl w:ilvl="7" w:tplc="DBBEA7E8" w:tentative="1">
      <w:start w:val="1"/>
      <w:numFmt w:val="lowerLetter"/>
      <w:lvlText w:val="%8."/>
      <w:lvlJc w:val="left"/>
      <w:pPr>
        <w:ind w:left="5760" w:hanging="360"/>
      </w:pPr>
    </w:lvl>
    <w:lvl w:ilvl="8" w:tplc="13DE8086" w:tentative="1">
      <w:start w:val="1"/>
      <w:numFmt w:val="lowerRoman"/>
      <w:lvlText w:val="%9."/>
      <w:lvlJc w:val="right"/>
      <w:pPr>
        <w:ind w:left="6480" w:hanging="180"/>
      </w:pPr>
    </w:lvl>
  </w:abstractNum>
  <w:abstractNum w:abstractNumId="43">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41"/>
  </w:num>
  <w:num w:numId="13">
    <w:abstractNumId w:val="14"/>
  </w:num>
  <w:num w:numId="14">
    <w:abstractNumId w:val="36"/>
  </w:num>
  <w:num w:numId="15">
    <w:abstractNumId w:val="31"/>
  </w:num>
  <w:num w:numId="16">
    <w:abstractNumId w:val="11"/>
  </w:num>
  <w:num w:numId="17">
    <w:abstractNumId w:val="22"/>
  </w:num>
  <w:num w:numId="1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28"/>
  </w:num>
  <w:num w:numId="22">
    <w:abstractNumId w:val="39"/>
  </w:num>
  <w:num w:numId="23">
    <w:abstractNumId w:val="10"/>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43"/>
  </w:num>
  <w:num w:numId="27">
    <w:abstractNumId w:val="23"/>
  </w:num>
  <w:num w:numId="28">
    <w:abstractNumId w:val="16"/>
  </w:num>
  <w:num w:numId="29">
    <w:abstractNumId w:val="24"/>
  </w:num>
  <w:num w:numId="30">
    <w:abstractNumId w:val="37"/>
  </w:num>
  <w:num w:numId="31">
    <w:abstractNumId w:val="29"/>
  </w:num>
  <w:num w:numId="32">
    <w:abstractNumId w:val="20"/>
  </w:num>
  <w:num w:numId="33">
    <w:abstractNumId w:val="35"/>
  </w:num>
  <w:num w:numId="34">
    <w:abstractNumId w:val="27"/>
  </w:num>
  <w:num w:numId="35">
    <w:abstractNumId w:val="33"/>
  </w:num>
  <w:num w:numId="36">
    <w:abstractNumId w:val="13"/>
  </w:num>
  <w:num w:numId="37">
    <w:abstractNumId w:val="26"/>
  </w:num>
  <w:num w:numId="38">
    <w:abstractNumId w:val="17"/>
  </w:num>
  <w:num w:numId="39">
    <w:abstractNumId w:val="42"/>
  </w:num>
  <w:num w:numId="40">
    <w:abstractNumId w:val="32"/>
  </w:num>
  <w:num w:numId="41">
    <w:abstractNumId w:val="40"/>
  </w:num>
  <w:num w:numId="42">
    <w:abstractNumId w:val="34"/>
  </w:num>
  <w:num w:numId="43">
    <w:abstractNumId w:val="15"/>
  </w:num>
  <w:num w:numId="44">
    <w:abstractNumId w:val="18"/>
  </w:num>
  <w:num w:numId="45">
    <w:abstractNumId w:val="25"/>
  </w:num>
  <w:num w:numId="46">
    <w:abstractNumId w:val="19"/>
  </w:num>
  <w:num w:numId="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F01"/>
    <w:rsid w:val="00000102"/>
    <w:rsid w:val="00000B98"/>
    <w:rsid w:val="00001BC8"/>
    <w:rsid w:val="000022EE"/>
    <w:rsid w:val="0000490D"/>
    <w:rsid w:val="00006D62"/>
    <w:rsid w:val="0000725F"/>
    <w:rsid w:val="00012899"/>
    <w:rsid w:val="00017EC1"/>
    <w:rsid w:val="0002115B"/>
    <w:rsid w:val="00021443"/>
    <w:rsid w:val="00022430"/>
    <w:rsid w:val="00023AF6"/>
    <w:rsid w:val="00024EDC"/>
    <w:rsid w:val="00030096"/>
    <w:rsid w:val="00033889"/>
    <w:rsid w:val="000338BB"/>
    <w:rsid w:val="00034C21"/>
    <w:rsid w:val="00034E93"/>
    <w:rsid w:val="00035AA5"/>
    <w:rsid w:val="00041A06"/>
    <w:rsid w:val="000441F4"/>
    <w:rsid w:val="00047575"/>
    <w:rsid w:val="00053DBA"/>
    <w:rsid w:val="00055482"/>
    <w:rsid w:val="000559C0"/>
    <w:rsid w:val="00057AA6"/>
    <w:rsid w:val="000607C3"/>
    <w:rsid w:val="000620E6"/>
    <w:rsid w:val="0006281B"/>
    <w:rsid w:val="00064FE6"/>
    <w:rsid w:val="000666ED"/>
    <w:rsid w:val="00066B4B"/>
    <w:rsid w:val="00071707"/>
    <w:rsid w:val="00071FD5"/>
    <w:rsid w:val="000746C5"/>
    <w:rsid w:val="00074E4E"/>
    <w:rsid w:val="00075527"/>
    <w:rsid w:val="0008224F"/>
    <w:rsid w:val="000835DB"/>
    <w:rsid w:val="0008392C"/>
    <w:rsid w:val="00084D29"/>
    <w:rsid w:val="00085155"/>
    <w:rsid w:val="00087699"/>
    <w:rsid w:val="00090710"/>
    <w:rsid w:val="0009396F"/>
    <w:rsid w:val="00094304"/>
    <w:rsid w:val="00096AC6"/>
    <w:rsid w:val="00096B98"/>
    <w:rsid w:val="0009798F"/>
    <w:rsid w:val="00097C25"/>
    <w:rsid w:val="00097E06"/>
    <w:rsid w:val="000A24AA"/>
    <w:rsid w:val="000A5488"/>
    <w:rsid w:val="000A596D"/>
    <w:rsid w:val="000B1E50"/>
    <w:rsid w:val="000B2242"/>
    <w:rsid w:val="000B23D4"/>
    <w:rsid w:val="000B4C75"/>
    <w:rsid w:val="000B51A4"/>
    <w:rsid w:val="000B5815"/>
    <w:rsid w:val="000B703B"/>
    <w:rsid w:val="000B74A9"/>
    <w:rsid w:val="000C36FD"/>
    <w:rsid w:val="000C4D0C"/>
    <w:rsid w:val="000C4EB0"/>
    <w:rsid w:val="000C582F"/>
    <w:rsid w:val="000D0F9D"/>
    <w:rsid w:val="000D160B"/>
    <w:rsid w:val="000D1C9C"/>
    <w:rsid w:val="000D2531"/>
    <w:rsid w:val="000D40A3"/>
    <w:rsid w:val="000D4CCB"/>
    <w:rsid w:val="000E19F5"/>
    <w:rsid w:val="000E280D"/>
    <w:rsid w:val="000E4A28"/>
    <w:rsid w:val="000E6107"/>
    <w:rsid w:val="000E7ACE"/>
    <w:rsid w:val="000F01CA"/>
    <w:rsid w:val="000F0B50"/>
    <w:rsid w:val="000F5DAB"/>
    <w:rsid w:val="000F61E3"/>
    <w:rsid w:val="000F71BD"/>
    <w:rsid w:val="000F77C0"/>
    <w:rsid w:val="001008AB"/>
    <w:rsid w:val="00102BCC"/>
    <w:rsid w:val="00106065"/>
    <w:rsid w:val="001065DD"/>
    <w:rsid w:val="0010666A"/>
    <w:rsid w:val="00110441"/>
    <w:rsid w:val="001120EB"/>
    <w:rsid w:val="00112AB5"/>
    <w:rsid w:val="001134F9"/>
    <w:rsid w:val="0011368A"/>
    <w:rsid w:val="00113A97"/>
    <w:rsid w:val="001167B4"/>
    <w:rsid w:val="0011698D"/>
    <w:rsid w:val="00116E5E"/>
    <w:rsid w:val="00117375"/>
    <w:rsid w:val="001226F8"/>
    <w:rsid w:val="00124468"/>
    <w:rsid w:val="00125C45"/>
    <w:rsid w:val="001261E2"/>
    <w:rsid w:val="0012669E"/>
    <w:rsid w:val="001319C1"/>
    <w:rsid w:val="0013274F"/>
    <w:rsid w:val="001339FB"/>
    <w:rsid w:val="00135909"/>
    <w:rsid w:val="00137BA8"/>
    <w:rsid w:val="00144DA7"/>
    <w:rsid w:val="0014543A"/>
    <w:rsid w:val="00146680"/>
    <w:rsid w:val="00147286"/>
    <w:rsid w:val="00152C95"/>
    <w:rsid w:val="00154DA5"/>
    <w:rsid w:val="001554FD"/>
    <w:rsid w:val="0016000D"/>
    <w:rsid w:val="00160556"/>
    <w:rsid w:val="00162FA1"/>
    <w:rsid w:val="001662EA"/>
    <w:rsid w:val="00166851"/>
    <w:rsid w:val="0017084A"/>
    <w:rsid w:val="00171217"/>
    <w:rsid w:val="0017368C"/>
    <w:rsid w:val="00173F04"/>
    <w:rsid w:val="00181AEF"/>
    <w:rsid w:val="001830C6"/>
    <w:rsid w:val="001836D8"/>
    <w:rsid w:val="00185751"/>
    <w:rsid w:val="0019139A"/>
    <w:rsid w:val="001926BF"/>
    <w:rsid w:val="001946FB"/>
    <w:rsid w:val="0019574C"/>
    <w:rsid w:val="00197863"/>
    <w:rsid w:val="001A14F2"/>
    <w:rsid w:val="001A2C1C"/>
    <w:rsid w:val="001A34DA"/>
    <w:rsid w:val="001A4688"/>
    <w:rsid w:val="001B0734"/>
    <w:rsid w:val="001B2117"/>
    <w:rsid w:val="001B5F01"/>
    <w:rsid w:val="001C062B"/>
    <w:rsid w:val="001C0661"/>
    <w:rsid w:val="001C4F4A"/>
    <w:rsid w:val="001C5950"/>
    <w:rsid w:val="001C75C1"/>
    <w:rsid w:val="001C780F"/>
    <w:rsid w:val="001D0D16"/>
    <w:rsid w:val="001D4606"/>
    <w:rsid w:val="001D7A32"/>
    <w:rsid w:val="001E07B2"/>
    <w:rsid w:val="001E1AF5"/>
    <w:rsid w:val="001E7DE6"/>
    <w:rsid w:val="001F00E6"/>
    <w:rsid w:val="001F013C"/>
    <w:rsid w:val="001F2EC5"/>
    <w:rsid w:val="001F544E"/>
    <w:rsid w:val="00200084"/>
    <w:rsid w:val="00202DA8"/>
    <w:rsid w:val="00202F7C"/>
    <w:rsid w:val="002030E0"/>
    <w:rsid w:val="00203E0E"/>
    <w:rsid w:val="00207DE9"/>
    <w:rsid w:val="002124C8"/>
    <w:rsid w:val="00214A66"/>
    <w:rsid w:val="00214B13"/>
    <w:rsid w:val="00216156"/>
    <w:rsid w:val="002166CE"/>
    <w:rsid w:val="002219A6"/>
    <w:rsid w:val="00221CB4"/>
    <w:rsid w:val="0022368D"/>
    <w:rsid w:val="00226003"/>
    <w:rsid w:val="00234D4E"/>
    <w:rsid w:val="00235E47"/>
    <w:rsid w:val="00236222"/>
    <w:rsid w:val="00236C82"/>
    <w:rsid w:val="002411AA"/>
    <w:rsid w:val="00245A9E"/>
    <w:rsid w:val="002511AF"/>
    <w:rsid w:val="002526BB"/>
    <w:rsid w:val="00260498"/>
    <w:rsid w:val="00261024"/>
    <w:rsid w:val="0026213E"/>
    <w:rsid w:val="00265C89"/>
    <w:rsid w:val="00266586"/>
    <w:rsid w:val="0026674A"/>
    <w:rsid w:val="00266ADD"/>
    <w:rsid w:val="00270143"/>
    <w:rsid w:val="002702F7"/>
    <w:rsid w:val="00270A39"/>
    <w:rsid w:val="00272ECE"/>
    <w:rsid w:val="00273D9C"/>
    <w:rsid w:val="002805F9"/>
    <w:rsid w:val="00282357"/>
    <w:rsid w:val="00282A7A"/>
    <w:rsid w:val="002835F3"/>
    <w:rsid w:val="00283E3E"/>
    <w:rsid w:val="00291562"/>
    <w:rsid w:val="002944CF"/>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AD9"/>
    <w:rsid w:val="002C0EE3"/>
    <w:rsid w:val="002C1C04"/>
    <w:rsid w:val="002C1E59"/>
    <w:rsid w:val="002D2D7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3F9E"/>
    <w:rsid w:val="002F581F"/>
    <w:rsid w:val="002F6B96"/>
    <w:rsid w:val="002F6EBE"/>
    <w:rsid w:val="002F77FB"/>
    <w:rsid w:val="003002C5"/>
    <w:rsid w:val="0030150C"/>
    <w:rsid w:val="00301D5F"/>
    <w:rsid w:val="0030334B"/>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9B8"/>
    <w:rsid w:val="0034453E"/>
    <w:rsid w:val="00344633"/>
    <w:rsid w:val="0034538A"/>
    <w:rsid w:val="00347C48"/>
    <w:rsid w:val="0035007A"/>
    <w:rsid w:val="003500F6"/>
    <w:rsid w:val="003506AD"/>
    <w:rsid w:val="00351ACF"/>
    <w:rsid w:val="003545DE"/>
    <w:rsid w:val="00357DCB"/>
    <w:rsid w:val="00360D8E"/>
    <w:rsid w:val="00362179"/>
    <w:rsid w:val="00362F23"/>
    <w:rsid w:val="00365216"/>
    <w:rsid w:val="003663AA"/>
    <w:rsid w:val="00370839"/>
    <w:rsid w:val="00375335"/>
    <w:rsid w:val="0037611B"/>
    <w:rsid w:val="00376A72"/>
    <w:rsid w:val="00380C85"/>
    <w:rsid w:val="00382B5A"/>
    <w:rsid w:val="003850D8"/>
    <w:rsid w:val="0038620B"/>
    <w:rsid w:val="00386DE6"/>
    <w:rsid w:val="003915FD"/>
    <w:rsid w:val="00395CD2"/>
    <w:rsid w:val="00396768"/>
    <w:rsid w:val="00396B21"/>
    <w:rsid w:val="00397816"/>
    <w:rsid w:val="003A03CF"/>
    <w:rsid w:val="003A0A74"/>
    <w:rsid w:val="003A1322"/>
    <w:rsid w:val="003A1B60"/>
    <w:rsid w:val="003A1DC1"/>
    <w:rsid w:val="003A32A4"/>
    <w:rsid w:val="003A37B0"/>
    <w:rsid w:val="003A57B7"/>
    <w:rsid w:val="003B10CD"/>
    <w:rsid w:val="003B126D"/>
    <w:rsid w:val="003B5E4D"/>
    <w:rsid w:val="003B752D"/>
    <w:rsid w:val="003C3955"/>
    <w:rsid w:val="003C4A7A"/>
    <w:rsid w:val="003C5B1B"/>
    <w:rsid w:val="003D031A"/>
    <w:rsid w:val="003D0BAB"/>
    <w:rsid w:val="003D5C91"/>
    <w:rsid w:val="003D774F"/>
    <w:rsid w:val="003D7D8B"/>
    <w:rsid w:val="003E2DA7"/>
    <w:rsid w:val="003E2EE4"/>
    <w:rsid w:val="003E3ACC"/>
    <w:rsid w:val="003E68F3"/>
    <w:rsid w:val="003E6A9A"/>
    <w:rsid w:val="003F0893"/>
    <w:rsid w:val="003F1AD7"/>
    <w:rsid w:val="003F350B"/>
    <w:rsid w:val="003F4BB8"/>
    <w:rsid w:val="003F50A0"/>
    <w:rsid w:val="003F7D85"/>
    <w:rsid w:val="00400808"/>
    <w:rsid w:val="00400A3F"/>
    <w:rsid w:val="00401B82"/>
    <w:rsid w:val="00404FF0"/>
    <w:rsid w:val="00410D7F"/>
    <w:rsid w:val="00414535"/>
    <w:rsid w:val="00415416"/>
    <w:rsid w:val="004165A1"/>
    <w:rsid w:val="00416802"/>
    <w:rsid w:val="00417C36"/>
    <w:rsid w:val="00417DE9"/>
    <w:rsid w:val="004224F2"/>
    <w:rsid w:val="004248C1"/>
    <w:rsid w:val="00425E62"/>
    <w:rsid w:val="004323D8"/>
    <w:rsid w:val="00433BB1"/>
    <w:rsid w:val="00434D08"/>
    <w:rsid w:val="00434D37"/>
    <w:rsid w:val="004362F3"/>
    <w:rsid w:val="00436861"/>
    <w:rsid w:val="00436FCE"/>
    <w:rsid w:val="00437C92"/>
    <w:rsid w:val="004404C9"/>
    <w:rsid w:val="00441509"/>
    <w:rsid w:val="0044486A"/>
    <w:rsid w:val="00444FE5"/>
    <w:rsid w:val="00447CC9"/>
    <w:rsid w:val="0045005C"/>
    <w:rsid w:val="00450F30"/>
    <w:rsid w:val="00452A01"/>
    <w:rsid w:val="004533A1"/>
    <w:rsid w:val="00454F7A"/>
    <w:rsid w:val="00465619"/>
    <w:rsid w:val="0046764D"/>
    <w:rsid w:val="0046774E"/>
    <w:rsid w:val="00467A02"/>
    <w:rsid w:val="0047121E"/>
    <w:rsid w:val="00472808"/>
    <w:rsid w:val="00472BB1"/>
    <w:rsid w:val="00472D18"/>
    <w:rsid w:val="004756C1"/>
    <w:rsid w:val="0048719F"/>
    <w:rsid w:val="00487DFD"/>
    <w:rsid w:val="00491070"/>
    <w:rsid w:val="00491533"/>
    <w:rsid w:val="00492889"/>
    <w:rsid w:val="00492AE3"/>
    <w:rsid w:val="004970AD"/>
    <w:rsid w:val="00497207"/>
    <w:rsid w:val="004977DE"/>
    <w:rsid w:val="004A0A9D"/>
    <w:rsid w:val="004A0FC6"/>
    <w:rsid w:val="004A6830"/>
    <w:rsid w:val="004B6961"/>
    <w:rsid w:val="004B6F20"/>
    <w:rsid w:val="004B78F3"/>
    <w:rsid w:val="004C12C4"/>
    <w:rsid w:val="004C1D3C"/>
    <w:rsid w:val="004C212D"/>
    <w:rsid w:val="004C4AE4"/>
    <w:rsid w:val="004C5152"/>
    <w:rsid w:val="004C5CBE"/>
    <w:rsid w:val="004C7EF1"/>
    <w:rsid w:val="004D1662"/>
    <w:rsid w:val="004D36D5"/>
    <w:rsid w:val="004D3FC2"/>
    <w:rsid w:val="004D5480"/>
    <w:rsid w:val="004E02A0"/>
    <w:rsid w:val="004E11D6"/>
    <w:rsid w:val="004E3886"/>
    <w:rsid w:val="004F0BED"/>
    <w:rsid w:val="004F6030"/>
    <w:rsid w:val="005014FE"/>
    <w:rsid w:val="005016DA"/>
    <w:rsid w:val="0050259B"/>
    <w:rsid w:val="00503E94"/>
    <w:rsid w:val="0050741E"/>
    <w:rsid w:val="005078B2"/>
    <w:rsid w:val="005118AB"/>
    <w:rsid w:val="00512BBA"/>
    <w:rsid w:val="005203DD"/>
    <w:rsid w:val="0052060A"/>
    <w:rsid w:val="00520758"/>
    <w:rsid w:val="005217F0"/>
    <w:rsid w:val="00522FF3"/>
    <w:rsid w:val="00523633"/>
    <w:rsid w:val="00524F5B"/>
    <w:rsid w:val="00525140"/>
    <w:rsid w:val="00526DC6"/>
    <w:rsid w:val="00530E8F"/>
    <w:rsid w:val="00533150"/>
    <w:rsid w:val="00535D98"/>
    <w:rsid w:val="00541069"/>
    <w:rsid w:val="00541237"/>
    <w:rsid w:val="00542980"/>
    <w:rsid w:val="00542ECC"/>
    <w:rsid w:val="005442BE"/>
    <w:rsid w:val="005450BD"/>
    <w:rsid w:val="005460B8"/>
    <w:rsid w:val="005461E2"/>
    <w:rsid w:val="00550287"/>
    <w:rsid w:val="005506DC"/>
    <w:rsid w:val="005509B9"/>
    <w:rsid w:val="00555606"/>
    <w:rsid w:val="0056017B"/>
    <w:rsid w:val="0056079D"/>
    <w:rsid w:val="00562985"/>
    <w:rsid w:val="00563E52"/>
    <w:rsid w:val="005676A8"/>
    <w:rsid w:val="005716DF"/>
    <w:rsid w:val="005718A2"/>
    <w:rsid w:val="00571956"/>
    <w:rsid w:val="00572618"/>
    <w:rsid w:val="005730BC"/>
    <w:rsid w:val="00574B71"/>
    <w:rsid w:val="0057556B"/>
    <w:rsid w:val="00577697"/>
    <w:rsid w:val="00577DB3"/>
    <w:rsid w:val="0058475D"/>
    <w:rsid w:val="00586F30"/>
    <w:rsid w:val="00590BA6"/>
    <w:rsid w:val="005919DF"/>
    <w:rsid w:val="00594295"/>
    <w:rsid w:val="00594374"/>
    <w:rsid w:val="00594ADC"/>
    <w:rsid w:val="005A1748"/>
    <w:rsid w:val="005A203D"/>
    <w:rsid w:val="005A4CCF"/>
    <w:rsid w:val="005B0867"/>
    <w:rsid w:val="005B1480"/>
    <w:rsid w:val="005B2AAE"/>
    <w:rsid w:val="005B2B44"/>
    <w:rsid w:val="005B5D9F"/>
    <w:rsid w:val="005B7FEA"/>
    <w:rsid w:val="005C02DF"/>
    <w:rsid w:val="005C0893"/>
    <w:rsid w:val="005C114D"/>
    <w:rsid w:val="005C2775"/>
    <w:rsid w:val="005C3139"/>
    <w:rsid w:val="005C417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85A"/>
    <w:rsid w:val="006011CB"/>
    <w:rsid w:val="006021A5"/>
    <w:rsid w:val="00603085"/>
    <w:rsid w:val="00605217"/>
    <w:rsid w:val="00605729"/>
    <w:rsid w:val="00606901"/>
    <w:rsid w:val="006110F0"/>
    <w:rsid w:val="006120A2"/>
    <w:rsid w:val="006138D2"/>
    <w:rsid w:val="00621592"/>
    <w:rsid w:val="00621A8E"/>
    <w:rsid w:val="00625CC0"/>
    <w:rsid w:val="00627C54"/>
    <w:rsid w:val="0063085F"/>
    <w:rsid w:val="00632164"/>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3286"/>
    <w:rsid w:val="00665A9F"/>
    <w:rsid w:val="00666F85"/>
    <w:rsid w:val="00672379"/>
    <w:rsid w:val="00672F8C"/>
    <w:rsid w:val="006749C8"/>
    <w:rsid w:val="00674EAD"/>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130F"/>
    <w:rsid w:val="006B26F2"/>
    <w:rsid w:val="006B287C"/>
    <w:rsid w:val="006B46E0"/>
    <w:rsid w:val="006B6128"/>
    <w:rsid w:val="006B7D0F"/>
    <w:rsid w:val="006C0853"/>
    <w:rsid w:val="006C41EB"/>
    <w:rsid w:val="006C630F"/>
    <w:rsid w:val="006C6978"/>
    <w:rsid w:val="006C6E56"/>
    <w:rsid w:val="006D24F3"/>
    <w:rsid w:val="006D2DA1"/>
    <w:rsid w:val="006D38A8"/>
    <w:rsid w:val="006D5404"/>
    <w:rsid w:val="006D541E"/>
    <w:rsid w:val="006D5E9F"/>
    <w:rsid w:val="006E10E6"/>
    <w:rsid w:val="006E1DE1"/>
    <w:rsid w:val="006E2E71"/>
    <w:rsid w:val="006E4BF0"/>
    <w:rsid w:val="006E53EB"/>
    <w:rsid w:val="006F0762"/>
    <w:rsid w:val="006F16BD"/>
    <w:rsid w:val="006F2809"/>
    <w:rsid w:val="006F36C3"/>
    <w:rsid w:val="006F4F2D"/>
    <w:rsid w:val="006F4F4F"/>
    <w:rsid w:val="006F5F18"/>
    <w:rsid w:val="00702C37"/>
    <w:rsid w:val="00704247"/>
    <w:rsid w:val="00704AF8"/>
    <w:rsid w:val="00705DBE"/>
    <w:rsid w:val="007077FB"/>
    <w:rsid w:val="00710963"/>
    <w:rsid w:val="00711631"/>
    <w:rsid w:val="007119F8"/>
    <w:rsid w:val="00712740"/>
    <w:rsid w:val="00713A6F"/>
    <w:rsid w:val="00713E96"/>
    <w:rsid w:val="00715858"/>
    <w:rsid w:val="007247EA"/>
    <w:rsid w:val="00725A0A"/>
    <w:rsid w:val="00726745"/>
    <w:rsid w:val="00726EC3"/>
    <w:rsid w:val="00727D7C"/>
    <w:rsid w:val="007301DD"/>
    <w:rsid w:val="00730DB6"/>
    <w:rsid w:val="00730E8A"/>
    <w:rsid w:val="00732165"/>
    <w:rsid w:val="0073300C"/>
    <w:rsid w:val="00733D8F"/>
    <w:rsid w:val="00734B4F"/>
    <w:rsid w:val="007358E3"/>
    <w:rsid w:val="007361E0"/>
    <w:rsid w:val="00740018"/>
    <w:rsid w:val="007401AE"/>
    <w:rsid w:val="00742590"/>
    <w:rsid w:val="00743060"/>
    <w:rsid w:val="00743BF0"/>
    <w:rsid w:val="00743C17"/>
    <w:rsid w:val="0074459F"/>
    <w:rsid w:val="00747A67"/>
    <w:rsid w:val="00752723"/>
    <w:rsid w:val="00752DB2"/>
    <w:rsid w:val="00755FD1"/>
    <w:rsid w:val="00757330"/>
    <w:rsid w:val="00760CF7"/>
    <w:rsid w:val="00761651"/>
    <w:rsid w:val="00761A89"/>
    <w:rsid w:val="00763976"/>
    <w:rsid w:val="00766CFE"/>
    <w:rsid w:val="00767FBD"/>
    <w:rsid w:val="00771278"/>
    <w:rsid w:val="00773616"/>
    <w:rsid w:val="00773698"/>
    <w:rsid w:val="007751E6"/>
    <w:rsid w:val="00775ED5"/>
    <w:rsid w:val="007778F6"/>
    <w:rsid w:val="00784A78"/>
    <w:rsid w:val="00784E45"/>
    <w:rsid w:val="00791250"/>
    <w:rsid w:val="00792ECD"/>
    <w:rsid w:val="00793AE8"/>
    <w:rsid w:val="00796274"/>
    <w:rsid w:val="007A0011"/>
    <w:rsid w:val="007A0715"/>
    <w:rsid w:val="007A0E4C"/>
    <w:rsid w:val="007A1FF3"/>
    <w:rsid w:val="007A21B1"/>
    <w:rsid w:val="007A381A"/>
    <w:rsid w:val="007A46BF"/>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2EF2"/>
    <w:rsid w:val="007D440F"/>
    <w:rsid w:val="007D50E1"/>
    <w:rsid w:val="007D7985"/>
    <w:rsid w:val="007D79F9"/>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792C"/>
    <w:rsid w:val="008119FB"/>
    <w:rsid w:val="0081395D"/>
    <w:rsid w:val="00815E88"/>
    <w:rsid w:val="00822949"/>
    <w:rsid w:val="008240B9"/>
    <w:rsid w:val="00824278"/>
    <w:rsid w:val="00824ABA"/>
    <w:rsid w:val="008252E0"/>
    <w:rsid w:val="00825797"/>
    <w:rsid w:val="00826CD9"/>
    <w:rsid w:val="00826FE7"/>
    <w:rsid w:val="008277FB"/>
    <w:rsid w:val="008307C4"/>
    <w:rsid w:val="00831365"/>
    <w:rsid w:val="00834179"/>
    <w:rsid w:val="0083479D"/>
    <w:rsid w:val="0083601B"/>
    <w:rsid w:val="00836510"/>
    <w:rsid w:val="008365DD"/>
    <w:rsid w:val="008407EF"/>
    <w:rsid w:val="00840858"/>
    <w:rsid w:val="008410C3"/>
    <w:rsid w:val="008416BB"/>
    <w:rsid w:val="008425CB"/>
    <w:rsid w:val="00842E7C"/>
    <w:rsid w:val="00842EF8"/>
    <w:rsid w:val="0084320E"/>
    <w:rsid w:val="00843AAF"/>
    <w:rsid w:val="008440C4"/>
    <w:rsid w:val="00845390"/>
    <w:rsid w:val="00845B0F"/>
    <w:rsid w:val="00856EC8"/>
    <w:rsid w:val="0085768F"/>
    <w:rsid w:val="00857E46"/>
    <w:rsid w:val="00860485"/>
    <w:rsid w:val="00860502"/>
    <w:rsid w:val="00864AA7"/>
    <w:rsid w:val="00864E70"/>
    <w:rsid w:val="008650B9"/>
    <w:rsid w:val="0086576C"/>
    <w:rsid w:val="00870055"/>
    <w:rsid w:val="00870453"/>
    <w:rsid w:val="00872E5F"/>
    <w:rsid w:val="00872EAA"/>
    <w:rsid w:val="00875238"/>
    <w:rsid w:val="00881F1B"/>
    <w:rsid w:val="00882C71"/>
    <w:rsid w:val="0088563C"/>
    <w:rsid w:val="00886189"/>
    <w:rsid w:val="008903B1"/>
    <w:rsid w:val="00892D5D"/>
    <w:rsid w:val="00894924"/>
    <w:rsid w:val="00895D7A"/>
    <w:rsid w:val="008A0D92"/>
    <w:rsid w:val="008A1DE6"/>
    <w:rsid w:val="008A4401"/>
    <w:rsid w:val="008A475A"/>
    <w:rsid w:val="008A61B8"/>
    <w:rsid w:val="008B5560"/>
    <w:rsid w:val="008B6D87"/>
    <w:rsid w:val="008C0DAA"/>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7F0"/>
    <w:rsid w:val="008D7FCB"/>
    <w:rsid w:val="008E003B"/>
    <w:rsid w:val="008E0668"/>
    <w:rsid w:val="008E08FD"/>
    <w:rsid w:val="008E4386"/>
    <w:rsid w:val="008E513D"/>
    <w:rsid w:val="008E5394"/>
    <w:rsid w:val="008E6501"/>
    <w:rsid w:val="008E670D"/>
    <w:rsid w:val="008E7D48"/>
    <w:rsid w:val="008F417C"/>
    <w:rsid w:val="008F4B6B"/>
    <w:rsid w:val="008F5303"/>
    <w:rsid w:val="008F5D27"/>
    <w:rsid w:val="008F64EF"/>
    <w:rsid w:val="008F6C48"/>
    <w:rsid w:val="0090178F"/>
    <w:rsid w:val="009017A3"/>
    <w:rsid w:val="00901957"/>
    <w:rsid w:val="00901C9B"/>
    <w:rsid w:val="00906519"/>
    <w:rsid w:val="009066EB"/>
    <w:rsid w:val="00910897"/>
    <w:rsid w:val="00911480"/>
    <w:rsid w:val="00911D3E"/>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5580"/>
    <w:rsid w:val="00936333"/>
    <w:rsid w:val="009369BB"/>
    <w:rsid w:val="00936B11"/>
    <w:rsid w:val="009374A0"/>
    <w:rsid w:val="00942A48"/>
    <w:rsid w:val="0094505D"/>
    <w:rsid w:val="00945C49"/>
    <w:rsid w:val="00946330"/>
    <w:rsid w:val="0095117D"/>
    <w:rsid w:val="009525DA"/>
    <w:rsid w:val="009534DC"/>
    <w:rsid w:val="00953A95"/>
    <w:rsid w:val="00953ED5"/>
    <w:rsid w:val="00957AE9"/>
    <w:rsid w:val="009601F8"/>
    <w:rsid w:val="009618ED"/>
    <w:rsid w:val="00963E7F"/>
    <w:rsid w:val="00963E9B"/>
    <w:rsid w:val="009644CB"/>
    <w:rsid w:val="00967E9D"/>
    <w:rsid w:val="00972093"/>
    <w:rsid w:val="00974109"/>
    <w:rsid w:val="00976786"/>
    <w:rsid w:val="00976965"/>
    <w:rsid w:val="009832EF"/>
    <w:rsid w:val="009921AD"/>
    <w:rsid w:val="009931C3"/>
    <w:rsid w:val="00993CD6"/>
    <w:rsid w:val="00994546"/>
    <w:rsid w:val="00996E82"/>
    <w:rsid w:val="009A069D"/>
    <w:rsid w:val="009A13F7"/>
    <w:rsid w:val="009A6DC4"/>
    <w:rsid w:val="009B14C9"/>
    <w:rsid w:val="009B210B"/>
    <w:rsid w:val="009B4190"/>
    <w:rsid w:val="009B4595"/>
    <w:rsid w:val="009B535E"/>
    <w:rsid w:val="009C1906"/>
    <w:rsid w:val="009C22B7"/>
    <w:rsid w:val="009C266F"/>
    <w:rsid w:val="009C31B4"/>
    <w:rsid w:val="009C5782"/>
    <w:rsid w:val="009C58FC"/>
    <w:rsid w:val="009C6851"/>
    <w:rsid w:val="009C706F"/>
    <w:rsid w:val="009C73EF"/>
    <w:rsid w:val="009D2EED"/>
    <w:rsid w:val="009D40FF"/>
    <w:rsid w:val="009D536D"/>
    <w:rsid w:val="009D5440"/>
    <w:rsid w:val="009D66D0"/>
    <w:rsid w:val="009E0DF0"/>
    <w:rsid w:val="009E1473"/>
    <w:rsid w:val="009E195E"/>
    <w:rsid w:val="009E22AC"/>
    <w:rsid w:val="009E4B1E"/>
    <w:rsid w:val="009E6339"/>
    <w:rsid w:val="009F07A9"/>
    <w:rsid w:val="009F1876"/>
    <w:rsid w:val="009F1901"/>
    <w:rsid w:val="009F1912"/>
    <w:rsid w:val="009F3DDB"/>
    <w:rsid w:val="009F4FD0"/>
    <w:rsid w:val="009F5D6C"/>
    <w:rsid w:val="009F6918"/>
    <w:rsid w:val="009F7B05"/>
    <w:rsid w:val="00A05666"/>
    <w:rsid w:val="00A05A08"/>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52FF"/>
    <w:rsid w:val="00A3612A"/>
    <w:rsid w:val="00A42BE2"/>
    <w:rsid w:val="00A46491"/>
    <w:rsid w:val="00A47C10"/>
    <w:rsid w:val="00A50E2E"/>
    <w:rsid w:val="00A53778"/>
    <w:rsid w:val="00A5389B"/>
    <w:rsid w:val="00A538CC"/>
    <w:rsid w:val="00A54039"/>
    <w:rsid w:val="00A54679"/>
    <w:rsid w:val="00A5710F"/>
    <w:rsid w:val="00A57C12"/>
    <w:rsid w:val="00A66D38"/>
    <w:rsid w:val="00A70110"/>
    <w:rsid w:val="00A70169"/>
    <w:rsid w:val="00A704A9"/>
    <w:rsid w:val="00A71CD9"/>
    <w:rsid w:val="00A71E75"/>
    <w:rsid w:val="00A73EC7"/>
    <w:rsid w:val="00A775AD"/>
    <w:rsid w:val="00A77662"/>
    <w:rsid w:val="00A8194C"/>
    <w:rsid w:val="00A81AB4"/>
    <w:rsid w:val="00A8273D"/>
    <w:rsid w:val="00A8377F"/>
    <w:rsid w:val="00A850E4"/>
    <w:rsid w:val="00A86B93"/>
    <w:rsid w:val="00A91E69"/>
    <w:rsid w:val="00A93F4B"/>
    <w:rsid w:val="00A95F47"/>
    <w:rsid w:val="00A964D0"/>
    <w:rsid w:val="00AA134C"/>
    <w:rsid w:val="00AA1722"/>
    <w:rsid w:val="00AA7FD6"/>
    <w:rsid w:val="00AB6075"/>
    <w:rsid w:val="00AB683E"/>
    <w:rsid w:val="00AB689E"/>
    <w:rsid w:val="00AB6B03"/>
    <w:rsid w:val="00AB7920"/>
    <w:rsid w:val="00AB7946"/>
    <w:rsid w:val="00AC268D"/>
    <w:rsid w:val="00AD2486"/>
    <w:rsid w:val="00AD4EEF"/>
    <w:rsid w:val="00AE1C9E"/>
    <w:rsid w:val="00AE2B58"/>
    <w:rsid w:val="00AE389C"/>
    <w:rsid w:val="00AE3FFC"/>
    <w:rsid w:val="00AE7E96"/>
    <w:rsid w:val="00AF0676"/>
    <w:rsid w:val="00AF243E"/>
    <w:rsid w:val="00AF45E0"/>
    <w:rsid w:val="00AF6CEE"/>
    <w:rsid w:val="00B006D5"/>
    <w:rsid w:val="00B0262A"/>
    <w:rsid w:val="00B037F5"/>
    <w:rsid w:val="00B052FD"/>
    <w:rsid w:val="00B07738"/>
    <w:rsid w:val="00B107A6"/>
    <w:rsid w:val="00B12C3C"/>
    <w:rsid w:val="00B13B83"/>
    <w:rsid w:val="00B147EA"/>
    <w:rsid w:val="00B155B6"/>
    <w:rsid w:val="00B20122"/>
    <w:rsid w:val="00B219CB"/>
    <w:rsid w:val="00B22420"/>
    <w:rsid w:val="00B23153"/>
    <w:rsid w:val="00B23F32"/>
    <w:rsid w:val="00B2544C"/>
    <w:rsid w:val="00B25A71"/>
    <w:rsid w:val="00B26231"/>
    <w:rsid w:val="00B30810"/>
    <w:rsid w:val="00B30A8D"/>
    <w:rsid w:val="00B314A3"/>
    <w:rsid w:val="00B33021"/>
    <w:rsid w:val="00B34606"/>
    <w:rsid w:val="00B36A11"/>
    <w:rsid w:val="00B370C0"/>
    <w:rsid w:val="00B37E51"/>
    <w:rsid w:val="00B427B8"/>
    <w:rsid w:val="00B42D9D"/>
    <w:rsid w:val="00B432EE"/>
    <w:rsid w:val="00B445BA"/>
    <w:rsid w:val="00B46CFE"/>
    <w:rsid w:val="00B52D0A"/>
    <w:rsid w:val="00B52DED"/>
    <w:rsid w:val="00B53AC7"/>
    <w:rsid w:val="00B543CA"/>
    <w:rsid w:val="00B560F0"/>
    <w:rsid w:val="00B56B52"/>
    <w:rsid w:val="00B57A38"/>
    <w:rsid w:val="00B61013"/>
    <w:rsid w:val="00B6153F"/>
    <w:rsid w:val="00B62FCB"/>
    <w:rsid w:val="00B638A6"/>
    <w:rsid w:val="00B7299F"/>
    <w:rsid w:val="00B77387"/>
    <w:rsid w:val="00B8016D"/>
    <w:rsid w:val="00B81B0B"/>
    <w:rsid w:val="00B84B5F"/>
    <w:rsid w:val="00B86CA8"/>
    <w:rsid w:val="00B8751A"/>
    <w:rsid w:val="00B92A36"/>
    <w:rsid w:val="00B95734"/>
    <w:rsid w:val="00B958FB"/>
    <w:rsid w:val="00B95A85"/>
    <w:rsid w:val="00B97026"/>
    <w:rsid w:val="00B9725B"/>
    <w:rsid w:val="00B97C98"/>
    <w:rsid w:val="00BA0624"/>
    <w:rsid w:val="00BA0ADC"/>
    <w:rsid w:val="00BA26C7"/>
    <w:rsid w:val="00BA3622"/>
    <w:rsid w:val="00BA371D"/>
    <w:rsid w:val="00BB02F2"/>
    <w:rsid w:val="00BB5A71"/>
    <w:rsid w:val="00BB7AA7"/>
    <w:rsid w:val="00BC0E91"/>
    <w:rsid w:val="00BC37F1"/>
    <w:rsid w:val="00BC39AE"/>
    <w:rsid w:val="00BC4772"/>
    <w:rsid w:val="00BC5699"/>
    <w:rsid w:val="00BC59E8"/>
    <w:rsid w:val="00BC6C91"/>
    <w:rsid w:val="00BC708D"/>
    <w:rsid w:val="00BC7123"/>
    <w:rsid w:val="00BD1A1B"/>
    <w:rsid w:val="00BD1A9A"/>
    <w:rsid w:val="00BD20E4"/>
    <w:rsid w:val="00BD2B02"/>
    <w:rsid w:val="00BD4E96"/>
    <w:rsid w:val="00BD5118"/>
    <w:rsid w:val="00BE3921"/>
    <w:rsid w:val="00BE5412"/>
    <w:rsid w:val="00BE73A0"/>
    <w:rsid w:val="00BF1832"/>
    <w:rsid w:val="00BF1C5A"/>
    <w:rsid w:val="00BF1F41"/>
    <w:rsid w:val="00BF210E"/>
    <w:rsid w:val="00BF275C"/>
    <w:rsid w:val="00BF3904"/>
    <w:rsid w:val="00BF4EFF"/>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340"/>
    <w:rsid w:val="00C26BAF"/>
    <w:rsid w:val="00C40622"/>
    <w:rsid w:val="00C4071A"/>
    <w:rsid w:val="00C4089F"/>
    <w:rsid w:val="00C41136"/>
    <w:rsid w:val="00C416A5"/>
    <w:rsid w:val="00C437F7"/>
    <w:rsid w:val="00C44D6A"/>
    <w:rsid w:val="00C5058E"/>
    <w:rsid w:val="00C50917"/>
    <w:rsid w:val="00C51778"/>
    <w:rsid w:val="00C55779"/>
    <w:rsid w:val="00C6022C"/>
    <w:rsid w:val="00C606C2"/>
    <w:rsid w:val="00C60804"/>
    <w:rsid w:val="00C608C7"/>
    <w:rsid w:val="00C61768"/>
    <w:rsid w:val="00C61FD5"/>
    <w:rsid w:val="00C6499E"/>
    <w:rsid w:val="00C64B1B"/>
    <w:rsid w:val="00C67B31"/>
    <w:rsid w:val="00C71594"/>
    <w:rsid w:val="00C71D0F"/>
    <w:rsid w:val="00C72206"/>
    <w:rsid w:val="00C7446F"/>
    <w:rsid w:val="00C80B42"/>
    <w:rsid w:val="00C80EB5"/>
    <w:rsid w:val="00C81199"/>
    <w:rsid w:val="00C8356C"/>
    <w:rsid w:val="00C84001"/>
    <w:rsid w:val="00C8692F"/>
    <w:rsid w:val="00C90F45"/>
    <w:rsid w:val="00C9151E"/>
    <w:rsid w:val="00C91C46"/>
    <w:rsid w:val="00C92324"/>
    <w:rsid w:val="00C92FBC"/>
    <w:rsid w:val="00C940A9"/>
    <w:rsid w:val="00C95096"/>
    <w:rsid w:val="00CA050A"/>
    <w:rsid w:val="00CA2D48"/>
    <w:rsid w:val="00CB03E5"/>
    <w:rsid w:val="00CB244F"/>
    <w:rsid w:val="00CB579D"/>
    <w:rsid w:val="00CB6E18"/>
    <w:rsid w:val="00CB6E2A"/>
    <w:rsid w:val="00CB770D"/>
    <w:rsid w:val="00CB7F97"/>
    <w:rsid w:val="00CC0218"/>
    <w:rsid w:val="00CC377A"/>
    <w:rsid w:val="00CC647C"/>
    <w:rsid w:val="00CC68A0"/>
    <w:rsid w:val="00CC7182"/>
    <w:rsid w:val="00CC71C5"/>
    <w:rsid w:val="00CC72BB"/>
    <w:rsid w:val="00CD0D49"/>
    <w:rsid w:val="00CD0EA2"/>
    <w:rsid w:val="00CD14A5"/>
    <w:rsid w:val="00CD2048"/>
    <w:rsid w:val="00CD2ABD"/>
    <w:rsid w:val="00CD2CBB"/>
    <w:rsid w:val="00CD35AC"/>
    <w:rsid w:val="00CD3AED"/>
    <w:rsid w:val="00CD3D47"/>
    <w:rsid w:val="00CD599D"/>
    <w:rsid w:val="00CD5F50"/>
    <w:rsid w:val="00CE1C92"/>
    <w:rsid w:val="00CE2E90"/>
    <w:rsid w:val="00CE4003"/>
    <w:rsid w:val="00CE5A1E"/>
    <w:rsid w:val="00CF0089"/>
    <w:rsid w:val="00CF16F2"/>
    <w:rsid w:val="00CF17CA"/>
    <w:rsid w:val="00CF3E5C"/>
    <w:rsid w:val="00CF54D3"/>
    <w:rsid w:val="00CF5F35"/>
    <w:rsid w:val="00D011B1"/>
    <w:rsid w:val="00D019F2"/>
    <w:rsid w:val="00D03378"/>
    <w:rsid w:val="00D0367C"/>
    <w:rsid w:val="00D07880"/>
    <w:rsid w:val="00D115A3"/>
    <w:rsid w:val="00D14C30"/>
    <w:rsid w:val="00D16E3A"/>
    <w:rsid w:val="00D1749E"/>
    <w:rsid w:val="00D175A0"/>
    <w:rsid w:val="00D20A05"/>
    <w:rsid w:val="00D2265D"/>
    <w:rsid w:val="00D23168"/>
    <w:rsid w:val="00D234C5"/>
    <w:rsid w:val="00D25D58"/>
    <w:rsid w:val="00D27B11"/>
    <w:rsid w:val="00D3418C"/>
    <w:rsid w:val="00D34928"/>
    <w:rsid w:val="00D40927"/>
    <w:rsid w:val="00D409F8"/>
    <w:rsid w:val="00D40E1D"/>
    <w:rsid w:val="00D40FB2"/>
    <w:rsid w:val="00D41364"/>
    <w:rsid w:val="00D43637"/>
    <w:rsid w:val="00D44C33"/>
    <w:rsid w:val="00D5047F"/>
    <w:rsid w:val="00D5098B"/>
    <w:rsid w:val="00D53745"/>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3CE"/>
    <w:rsid w:val="00D91843"/>
    <w:rsid w:val="00D93F7C"/>
    <w:rsid w:val="00D945EC"/>
    <w:rsid w:val="00D95AA8"/>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E051F"/>
    <w:rsid w:val="00DE3C50"/>
    <w:rsid w:val="00DE4FFB"/>
    <w:rsid w:val="00DE50DB"/>
    <w:rsid w:val="00DE57D1"/>
    <w:rsid w:val="00DE623A"/>
    <w:rsid w:val="00DE6634"/>
    <w:rsid w:val="00DE72A4"/>
    <w:rsid w:val="00DE78F0"/>
    <w:rsid w:val="00DF1687"/>
    <w:rsid w:val="00DF24B8"/>
    <w:rsid w:val="00DF2C6F"/>
    <w:rsid w:val="00DF716A"/>
    <w:rsid w:val="00DF7319"/>
    <w:rsid w:val="00E00B5A"/>
    <w:rsid w:val="00E06CB4"/>
    <w:rsid w:val="00E116DE"/>
    <w:rsid w:val="00E11B05"/>
    <w:rsid w:val="00E21812"/>
    <w:rsid w:val="00E21BD8"/>
    <w:rsid w:val="00E236AC"/>
    <w:rsid w:val="00E25880"/>
    <w:rsid w:val="00E259E0"/>
    <w:rsid w:val="00E26443"/>
    <w:rsid w:val="00E30CFD"/>
    <w:rsid w:val="00E33034"/>
    <w:rsid w:val="00E3375C"/>
    <w:rsid w:val="00E33804"/>
    <w:rsid w:val="00E33AE5"/>
    <w:rsid w:val="00E33F52"/>
    <w:rsid w:val="00E3490A"/>
    <w:rsid w:val="00E36E22"/>
    <w:rsid w:val="00E37E71"/>
    <w:rsid w:val="00E42FAF"/>
    <w:rsid w:val="00E43B2E"/>
    <w:rsid w:val="00E52B88"/>
    <w:rsid w:val="00E52F74"/>
    <w:rsid w:val="00E5529B"/>
    <w:rsid w:val="00E57A0D"/>
    <w:rsid w:val="00E60594"/>
    <w:rsid w:val="00E60AF6"/>
    <w:rsid w:val="00E62863"/>
    <w:rsid w:val="00E629C7"/>
    <w:rsid w:val="00E63F20"/>
    <w:rsid w:val="00E72F4B"/>
    <w:rsid w:val="00E752F3"/>
    <w:rsid w:val="00E80C55"/>
    <w:rsid w:val="00E82C5E"/>
    <w:rsid w:val="00E82D73"/>
    <w:rsid w:val="00E82DCC"/>
    <w:rsid w:val="00E830BA"/>
    <w:rsid w:val="00E85FF8"/>
    <w:rsid w:val="00E86636"/>
    <w:rsid w:val="00E87D91"/>
    <w:rsid w:val="00E93072"/>
    <w:rsid w:val="00E93B35"/>
    <w:rsid w:val="00E95834"/>
    <w:rsid w:val="00E97581"/>
    <w:rsid w:val="00EA17BB"/>
    <w:rsid w:val="00EA3208"/>
    <w:rsid w:val="00EA3AD6"/>
    <w:rsid w:val="00EA4579"/>
    <w:rsid w:val="00EA6AAD"/>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51AE"/>
    <w:rsid w:val="00ED7EC2"/>
    <w:rsid w:val="00EE0677"/>
    <w:rsid w:val="00EE1185"/>
    <w:rsid w:val="00EE2D21"/>
    <w:rsid w:val="00EE303C"/>
    <w:rsid w:val="00EE4712"/>
    <w:rsid w:val="00EE4C86"/>
    <w:rsid w:val="00EE6CC5"/>
    <w:rsid w:val="00EE6E5D"/>
    <w:rsid w:val="00EE775F"/>
    <w:rsid w:val="00EF1DC9"/>
    <w:rsid w:val="00EF2E6B"/>
    <w:rsid w:val="00EF43C1"/>
    <w:rsid w:val="00EF4DAC"/>
    <w:rsid w:val="00EF79A7"/>
    <w:rsid w:val="00F11561"/>
    <w:rsid w:val="00F12352"/>
    <w:rsid w:val="00F1357D"/>
    <w:rsid w:val="00F17CDB"/>
    <w:rsid w:val="00F216F8"/>
    <w:rsid w:val="00F22E32"/>
    <w:rsid w:val="00F24324"/>
    <w:rsid w:val="00F306DC"/>
    <w:rsid w:val="00F339B0"/>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564E"/>
    <w:rsid w:val="00F87A97"/>
    <w:rsid w:val="00F91F27"/>
    <w:rsid w:val="00F9229A"/>
    <w:rsid w:val="00F9260C"/>
    <w:rsid w:val="00FA202B"/>
    <w:rsid w:val="00FA2F4D"/>
    <w:rsid w:val="00FA458D"/>
    <w:rsid w:val="00FB242E"/>
    <w:rsid w:val="00FB3ABB"/>
    <w:rsid w:val="00FB70FA"/>
    <w:rsid w:val="00FB75F9"/>
    <w:rsid w:val="00FC08B1"/>
    <w:rsid w:val="00FC33F5"/>
    <w:rsid w:val="00FC440A"/>
    <w:rsid w:val="00FD06B7"/>
    <w:rsid w:val="00FD3354"/>
    <w:rsid w:val="00FD3B9B"/>
    <w:rsid w:val="00FD3C8D"/>
    <w:rsid w:val="00FD429C"/>
    <w:rsid w:val="00FD4EEC"/>
    <w:rsid w:val="00FD526E"/>
    <w:rsid w:val="00FD5457"/>
    <w:rsid w:val="00FE234C"/>
    <w:rsid w:val="00FE2AA7"/>
    <w:rsid w:val="00FE5CAF"/>
    <w:rsid w:val="00FF05C9"/>
    <w:rsid w:val="00FF3082"/>
    <w:rsid w:val="00FF3D0B"/>
    <w:rsid w:val="00FF4085"/>
    <w:rsid w:val="00FF7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uiPriority w:val="99"/>
    <w:rsid w:val="002511AF"/>
    <w:rPr>
      <w:sz w:val="16"/>
      <w:szCs w:val="16"/>
    </w:rPr>
  </w:style>
  <w:style w:type="paragraph" w:styleId="CommentText">
    <w:name w:val="annotation text"/>
    <w:basedOn w:val="Normal"/>
    <w:link w:val="CommentTextChar"/>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aliases w:val="Footnote Text Char2,Footnote Text Char1 Char1,Footnote Text Char2 Char Char1,Footnote Text Char Char1 Char Char1,Footnote Text Char1 Char Char Char Char1,Footnote Text Char Char Char Char Char Char1,ft Char Char Char Char Char1"/>
    <w:basedOn w:val="Normal"/>
    <w:link w:val="FootnoteTextChar"/>
    <w:rsid w:val="00376A72"/>
    <w:rPr>
      <w:sz w:val="20"/>
      <w:szCs w:val="20"/>
    </w:rPr>
  </w:style>
  <w:style w:type="character" w:customStyle="1" w:styleId="FootnoteTextChar">
    <w:name w:val="Footnote Text Char"/>
    <w:aliases w:val="Footnote Text Char2 Char,Footnote Text Char1 Char1 Char,Footnote Text Char2 Char Char1 Char,Footnote Text Char Char1 Char Char1 Char,Footnote Text Char1 Char Char Char Char1 Char,Footnote Text Char Char Char Char Char Char1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974109"/>
    <w:rPr>
      <w:sz w:val="24"/>
      <w:szCs w:val="24"/>
    </w:rPr>
  </w:style>
  <w:style w:type="paragraph" w:customStyle="1" w:styleId="ParaText">
    <w:name w:val="ParaText"/>
    <w:basedOn w:val="Normal"/>
    <w:link w:val="ParaTextChar"/>
    <w:uiPriority w:val="99"/>
    <w:rsid w:val="00A54039"/>
    <w:pPr>
      <w:spacing w:after="120" w:line="300" w:lineRule="auto"/>
      <w:jc w:val="both"/>
    </w:pPr>
    <w:rPr>
      <w:szCs w:val="20"/>
    </w:rPr>
  </w:style>
  <w:style w:type="character" w:customStyle="1" w:styleId="ParaTextChar">
    <w:name w:val="ParaText Char"/>
    <w:basedOn w:val="DefaultParagraphFont"/>
    <w:link w:val="ParaText"/>
    <w:uiPriority w:val="99"/>
    <w:rsid w:val="00A54039"/>
    <w:rPr>
      <w:sz w:val="24"/>
    </w:rPr>
  </w:style>
  <w:style w:type="character" w:customStyle="1" w:styleId="CommentTextChar">
    <w:name w:val="Comment Text Char"/>
    <w:basedOn w:val="DefaultParagraphFont"/>
    <w:link w:val="CommentText"/>
    <w:rsid w:val="00936B11"/>
  </w:style>
  <w:style w:type="character" w:styleId="FootnoteReference">
    <w:name w:val="footnote reference"/>
    <w:aliases w:val="o"/>
    <w:basedOn w:val="DefaultParagraphFont"/>
    <w:rsid w:val="00936B11"/>
    <w:rPr>
      <w:vertAlign w:val="superscript"/>
    </w:rPr>
  </w:style>
  <w:style w:type="paragraph" w:customStyle="1" w:styleId="Bullet1HRt">
    <w:name w:val="Bullet1[HRt]"/>
    <w:basedOn w:val="Normal"/>
    <w:rsid w:val="006D5404"/>
    <w:pPr>
      <w:tabs>
        <w:tab w:val="left" w:pos="720"/>
        <w:tab w:val="num" w:pos="1440"/>
      </w:tabs>
      <w:spacing w:after="240" w:line="300" w:lineRule="auto"/>
      <w:ind w:left="1440" w:hanging="360"/>
      <w:jc w:val="both"/>
    </w:pPr>
    <w:rPr>
      <w:szCs w:val="20"/>
    </w:rPr>
  </w:style>
  <w:style w:type="paragraph" w:customStyle="1" w:styleId="Bullet2HRt">
    <w:name w:val="Bullet2[HRt]"/>
    <w:basedOn w:val="Normal"/>
    <w:rsid w:val="006D5404"/>
    <w:pPr>
      <w:tabs>
        <w:tab w:val="left" w:pos="1080"/>
        <w:tab w:val="num" w:pos="1800"/>
      </w:tabs>
      <w:spacing w:after="240" w:line="300" w:lineRule="auto"/>
      <w:ind w:left="1800" w:hanging="360"/>
      <w:jc w:val="both"/>
    </w:pPr>
    <w:rPr>
      <w:szCs w:val="20"/>
    </w:rPr>
  </w:style>
  <w:style w:type="paragraph" w:customStyle="1" w:styleId="1">
    <w:name w:val="1"/>
    <w:aliases w:val="a,i Seq"/>
    <w:basedOn w:val="Normal"/>
    <w:rsid w:val="0014543A"/>
    <w:pPr>
      <w:tabs>
        <w:tab w:val="num" w:pos="720"/>
        <w:tab w:val="left" w:pos="1080"/>
        <w:tab w:val="left" w:pos="1800"/>
        <w:tab w:val="left" w:pos="2160"/>
      </w:tabs>
      <w:spacing w:after="240" w:line="300" w:lineRule="auto"/>
      <w:ind w:left="720" w:hanging="360"/>
      <w:jc w:val="both"/>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uiPriority w:val="99"/>
    <w:rsid w:val="002511AF"/>
    <w:rPr>
      <w:sz w:val="16"/>
      <w:szCs w:val="16"/>
    </w:rPr>
  </w:style>
  <w:style w:type="paragraph" w:styleId="CommentText">
    <w:name w:val="annotation text"/>
    <w:basedOn w:val="Normal"/>
    <w:link w:val="CommentTextChar"/>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aliases w:val="Footnote Text Char2,Footnote Text Char1 Char1,Footnote Text Char2 Char Char1,Footnote Text Char Char1 Char Char1,Footnote Text Char1 Char Char Char Char1,Footnote Text Char Char Char Char Char Char1,ft Char Char Char Char Char1"/>
    <w:basedOn w:val="Normal"/>
    <w:link w:val="FootnoteTextChar"/>
    <w:rsid w:val="00376A72"/>
    <w:rPr>
      <w:sz w:val="20"/>
      <w:szCs w:val="20"/>
    </w:rPr>
  </w:style>
  <w:style w:type="character" w:customStyle="1" w:styleId="FootnoteTextChar">
    <w:name w:val="Footnote Text Char"/>
    <w:aliases w:val="Footnote Text Char2 Char,Footnote Text Char1 Char1 Char,Footnote Text Char2 Char Char1 Char,Footnote Text Char Char1 Char Char1 Char,Footnote Text Char1 Char Char Char Char1 Char,Footnote Text Char Char Char Char Char Char1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974109"/>
    <w:rPr>
      <w:sz w:val="24"/>
      <w:szCs w:val="24"/>
    </w:rPr>
  </w:style>
  <w:style w:type="paragraph" w:customStyle="1" w:styleId="ParaText">
    <w:name w:val="ParaText"/>
    <w:basedOn w:val="Normal"/>
    <w:link w:val="ParaTextChar"/>
    <w:uiPriority w:val="99"/>
    <w:rsid w:val="00A54039"/>
    <w:pPr>
      <w:spacing w:after="120" w:line="300" w:lineRule="auto"/>
      <w:jc w:val="both"/>
    </w:pPr>
    <w:rPr>
      <w:szCs w:val="20"/>
    </w:rPr>
  </w:style>
  <w:style w:type="character" w:customStyle="1" w:styleId="ParaTextChar">
    <w:name w:val="ParaText Char"/>
    <w:basedOn w:val="DefaultParagraphFont"/>
    <w:link w:val="ParaText"/>
    <w:uiPriority w:val="99"/>
    <w:rsid w:val="00A54039"/>
    <w:rPr>
      <w:sz w:val="24"/>
    </w:rPr>
  </w:style>
  <w:style w:type="character" w:customStyle="1" w:styleId="CommentTextChar">
    <w:name w:val="Comment Text Char"/>
    <w:basedOn w:val="DefaultParagraphFont"/>
    <w:link w:val="CommentText"/>
    <w:rsid w:val="00936B11"/>
  </w:style>
  <w:style w:type="character" w:styleId="FootnoteReference">
    <w:name w:val="footnote reference"/>
    <w:aliases w:val="o"/>
    <w:basedOn w:val="DefaultParagraphFont"/>
    <w:rsid w:val="00936B11"/>
    <w:rPr>
      <w:vertAlign w:val="superscript"/>
    </w:rPr>
  </w:style>
  <w:style w:type="paragraph" w:customStyle="1" w:styleId="Bullet1HRt">
    <w:name w:val="Bullet1[HRt]"/>
    <w:basedOn w:val="Normal"/>
    <w:rsid w:val="006D5404"/>
    <w:pPr>
      <w:tabs>
        <w:tab w:val="left" w:pos="720"/>
        <w:tab w:val="num" w:pos="1440"/>
      </w:tabs>
      <w:spacing w:after="240" w:line="300" w:lineRule="auto"/>
      <w:ind w:left="1440" w:hanging="360"/>
      <w:jc w:val="both"/>
    </w:pPr>
    <w:rPr>
      <w:szCs w:val="20"/>
    </w:rPr>
  </w:style>
  <w:style w:type="paragraph" w:customStyle="1" w:styleId="Bullet2HRt">
    <w:name w:val="Bullet2[HRt]"/>
    <w:basedOn w:val="Normal"/>
    <w:rsid w:val="006D5404"/>
    <w:pPr>
      <w:tabs>
        <w:tab w:val="left" w:pos="1080"/>
        <w:tab w:val="num" w:pos="1800"/>
      </w:tabs>
      <w:spacing w:after="240" w:line="300" w:lineRule="auto"/>
      <w:ind w:left="1800" w:hanging="360"/>
      <w:jc w:val="both"/>
    </w:pPr>
    <w:rPr>
      <w:szCs w:val="20"/>
    </w:rPr>
  </w:style>
  <w:style w:type="paragraph" w:customStyle="1" w:styleId="1">
    <w:name w:val="1"/>
    <w:aliases w:val="a,i Seq"/>
    <w:basedOn w:val="Normal"/>
    <w:rsid w:val="0014543A"/>
    <w:pPr>
      <w:tabs>
        <w:tab w:val="num" w:pos="720"/>
        <w:tab w:val="left" w:pos="1080"/>
        <w:tab w:val="left" w:pos="1800"/>
        <w:tab w:val="left" w:pos="2160"/>
      </w:tabs>
      <w:spacing w:after="240" w:line="300" w:lineRule="auto"/>
      <w:ind w:left="720" w:hanging="360"/>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james@spp.org"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oter" Target="footer2.xml"/><Relationship Id="rId10" Type="http://schemas.openxmlformats.org/officeDocument/2006/relationships/image" Target="media/image10.jpe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6.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3EC90-9CB9-4657-894C-763F46917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22</Pages>
  <Words>6433</Words>
  <Characters>36863</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SPP</Company>
  <LinksUpToDate>false</LinksUpToDate>
  <CharactersWithSpaces>43210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Jared Greenwalt</dc:creator>
  <cp:lastModifiedBy>Micha Bailey</cp:lastModifiedBy>
  <cp:revision>4</cp:revision>
  <cp:lastPrinted>2011-01-31T19:04:00Z</cp:lastPrinted>
  <dcterms:created xsi:type="dcterms:W3CDTF">2014-03-12T21:55:00Z</dcterms:created>
  <dcterms:modified xsi:type="dcterms:W3CDTF">2014-03-12T22:02:00Z</dcterms:modified>
</cp:coreProperties>
</file>